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rPr>
          <w:b/>
        </w:rPr>
        <w:t>THE AMERICAN WEST</w:t>
      </w:r>
    </w:p>
    <w:p>
      <w:pPr>
        <w:pStyle w:val="Title"/>
      </w:pPr>
      <w:r>
        <w:t>The American West: Power, Place, and Memory</w:t>
      </w:r>
    </w:p>
    <w:p>
      <w:pPr>
        <w:pStyle w:val="Subtitle"/>
      </w:pPr>
      <w:r>
        <w:t>33-582 · Fall 2026 · T/Th · Instructor Implementation Guide</w:t>
      </w:r>
    </w:p>
    <w:p>
      <w:pPr>
        <w:spacing w:after="80"/>
        <w:pBdr>
          <w:bottom w:val="single" w:sz="16" w:space="1" w:color="A04E32"/>
        </w:pBdr>
      </w:pPr>
    </w:p>
    <w:p>
      <w:r>
        <w:t>Northwest Missouri State University  •  Upper-division undergraduate  •  In person with Canvas support  •  Fall 2026; 15 calendar weeks; Tuesday/Thursday, in person</w:t>
      </w:r>
    </w:p>
    <w:tbl>
      <w:tblPr>
        <w:tblStyle w:val="TableGrid"/>
        <w:tblW w:type="auto" w:w="0"/>
        <w:tblLook w:firstColumn="1" w:firstRow="1" w:lastColumn="0" w:lastRow="0" w:noHBand="0" w:noVBand="1" w:val="04A0"/>
      </w:tblPr>
      <w:tblGrid>
        <w:gridCol w:w="10166"/>
      </w:tblGrid>
      <w:tr>
        <w:trPr>
          <w:cantSplit/>
          <w:tblHeader/>
        </w:trPr>
        <w:tc>
          <w:tcPr>
            <w:tcW w:type="dxa" w:w="10166"/>
            <w:shd w:fill="F7F3EA"/>
            <w:tcMar>
              <w:top w:w="110" w:type="dxa"/>
              <w:start w:w="140" w:type="dxa"/>
              <w:bottom w:w="110" w:type="dxa"/>
              <w:end w:w="140" w:type="dxa"/>
            </w:tcMar>
          </w:tcPr>
          <w:p>
            <w:r>
              <w:rPr>
                <w:b/>
                <w:color w:val="A04E32"/>
              </w:rPr>
              <w:t>Central question</w:t>
              <w:br/>
            </w:r>
            <w:r>
              <w:t>How was the American West made—and who has had the power to define, inhabit, govern, remember, and remake it?</w:t>
            </w:r>
          </w:p>
        </w:tc>
      </w:tr>
    </w:tbl>
    <w:p>
      <w:pPr>
        <w:spacing w:after="20"/>
      </w:pPr>
    </w:p>
    <w:p>
      <w:r>
        <w:t>A problem-centered history of the North American West from the eighteenth century through the late twentieth century. The course begins with Indigenous worlds and competing empires, then follows borderlands, migration, state and corporate power, labor, race, gender, environment, sovereignty, and public memory. Northwest Missouri and the Platte Purchase serve as a recurring local lens.</w:t>
      </w:r>
    </w:p>
    <w:p>
      <w:pPr>
        <w:pStyle w:val="Caption"/>
      </w:pPr>
      <w:r>
        <w:t>Dated for the Northwest Missouri State University Fall 2026 campus calendar. Instructor review is required before publication.</w:t>
      </w:r>
    </w:p>
    <w:p>
      <w:r>
        <w:br w:type="page"/>
      </w:r>
    </w:p>
    <w:p>
      <w:pPr>
        <w:pStyle w:val="Heading1"/>
      </w:pPr>
      <w:r>
        <w:t>1. Course at a Glance</w:t>
      </w:r>
    </w:p>
    <w:tbl>
      <w:tblPr>
        <w:tblStyle w:val="TableGrid"/>
        <w:tblW w:type="auto" w:w="0"/>
        <w:jc w:val="center"/>
        <w:tblLook w:firstColumn="1" w:firstRow="1" w:lastColumn="0" w:lastRow="0" w:noHBand="0" w:noVBand="1" w:val="04A0"/>
      </w:tblPr>
      <w:tblGrid>
        <w:gridCol w:w="5083"/>
        <w:gridCol w:w="5083"/>
      </w:tblGrid>
      <w:tr>
        <w:trPr>
          <w:tblHeader w:val="true"/>
          <w:cantSplit w:val="true"/>
        </w:trPr>
        <w:tc>
          <w:tcPr>
            <w:tcW w:type="dxa" w:w="2160"/>
            <w:shd w:fill="24364B"/>
            <w:vAlign w:val="center"/>
            <w:tcMar>
              <w:top w:w="60" w:type="dxa"/>
              <w:start w:w="80" w:type="dxa"/>
              <w:bottom w:w="60" w:type="dxa"/>
              <w:end w:w="80" w:type="dxa"/>
            </w:tcMar>
          </w:tcPr>
          <w:p>
            <w:r>
              <w:rPr>
                <w:b/>
                <w:color w:val="FFFFFF"/>
                <w:sz w:val="17"/>
              </w:rPr>
              <w:t>Field</w:t>
            </w:r>
          </w:p>
        </w:tc>
        <w:tc>
          <w:tcPr>
            <w:tcW w:type="dxa" w:w="8496"/>
            <w:shd w:fill="24364B"/>
            <w:vAlign w:val="center"/>
            <w:tcMar>
              <w:top w:w="60" w:type="dxa"/>
              <w:start w:w="80" w:type="dxa"/>
              <w:bottom w:w="60" w:type="dxa"/>
              <w:end w:w="80" w:type="dxa"/>
            </w:tcMar>
          </w:tcPr>
          <w:p>
            <w:r>
              <w:rPr>
                <w:b/>
                <w:color w:val="FFFFFF"/>
                <w:sz w:val="17"/>
              </w:rPr>
              <w:t>Design</w:t>
            </w:r>
          </w:p>
        </w:tc>
      </w:tr>
      <w:tr>
        <w:trPr>
          <w:cantSplit w:val="true"/>
        </w:trPr>
        <w:tc>
          <w:tcPr>
            <w:tcW w:type="dxa" w:w="2160"/>
            <w:vAlign w:val="top"/>
            <w:tcMar>
              <w:top w:w="60" w:type="dxa"/>
              <w:start w:w="80" w:type="dxa"/>
              <w:bottom w:w="60" w:type="dxa"/>
              <w:end w:w="80" w:type="dxa"/>
            </w:tcMar>
          </w:tcPr>
          <w:p>
            <w:pPr>
              <w:spacing w:after="20"/>
            </w:pPr>
            <w:r>
              <w:rPr>
                <w:sz w:val="17"/>
              </w:rPr>
              <w:t>Level and format</w:t>
            </w:r>
          </w:p>
        </w:tc>
        <w:tc>
          <w:tcPr>
            <w:tcW w:type="dxa" w:w="8496"/>
            <w:vAlign w:val="top"/>
            <w:tcMar>
              <w:top w:w="60" w:type="dxa"/>
              <w:start w:w="80" w:type="dxa"/>
              <w:bottom w:w="60" w:type="dxa"/>
              <w:end w:w="80" w:type="dxa"/>
            </w:tcMar>
          </w:tcPr>
          <w:p>
            <w:pPr>
              <w:spacing w:after="20"/>
            </w:pPr>
            <w:r>
              <w:rPr>
                <w:sz w:val="17"/>
              </w:rPr>
              <w:t>Upper-division undergraduate; in-person; Tuesday/Thursday; 75 minutes; Canvas-supported</w:t>
            </w:r>
          </w:p>
        </w:tc>
      </w:tr>
      <w:tr>
        <w:trPr>
          <w:cantSplit w:val="true"/>
        </w:trPr>
        <w:tc>
          <w:tcPr>
            <w:tcW w:type="dxa" w:w="2160"/>
            <w:vAlign w:val="top"/>
            <w:shd w:fill="F7F3EA"/>
            <w:tcMar>
              <w:top w:w="60" w:type="dxa"/>
              <w:start w:w="80" w:type="dxa"/>
              <w:bottom w:w="60" w:type="dxa"/>
              <w:end w:w="80" w:type="dxa"/>
            </w:tcMar>
          </w:tcPr>
          <w:p>
            <w:pPr>
              <w:spacing w:after="20"/>
            </w:pPr>
            <w:r>
              <w:rPr>
                <w:sz w:val="17"/>
              </w:rPr>
              <w:t>Term</w:t>
            </w:r>
          </w:p>
        </w:tc>
        <w:tc>
          <w:tcPr>
            <w:tcW w:type="dxa" w:w="8496"/>
            <w:vAlign w:val="top"/>
            <w:shd w:fill="F7F3EA"/>
            <w:tcMar>
              <w:top w:w="60" w:type="dxa"/>
              <w:start w:w="80" w:type="dxa"/>
              <w:bottom w:w="60" w:type="dxa"/>
              <w:end w:w="80" w:type="dxa"/>
            </w:tcMar>
          </w:tcPr>
          <w:p>
            <w:pPr>
              <w:spacing w:after="20"/>
            </w:pPr>
            <w:r>
              <w:rPr>
                <w:sz w:val="17"/>
              </w:rPr>
              <w:t>Campus term August 24–December 4, 2026; T/Th meetings August 25–December 3; finals December 7–10</w:t>
            </w:r>
          </w:p>
        </w:tc>
      </w:tr>
      <w:tr>
        <w:trPr>
          <w:cantSplit w:val="true"/>
        </w:trPr>
        <w:tc>
          <w:tcPr>
            <w:tcW w:type="dxa" w:w="2160"/>
            <w:vAlign w:val="top"/>
            <w:tcMar>
              <w:top w:w="60" w:type="dxa"/>
              <w:start w:w="80" w:type="dxa"/>
              <w:bottom w:w="60" w:type="dxa"/>
              <w:end w:w="80" w:type="dxa"/>
            </w:tcMar>
          </w:tcPr>
          <w:p>
            <w:pPr>
              <w:spacing w:after="20"/>
            </w:pPr>
            <w:r>
              <w:rPr>
                <w:sz w:val="17"/>
              </w:rPr>
              <w:t>Chronology</w:t>
            </w:r>
          </w:p>
        </w:tc>
        <w:tc>
          <w:tcPr>
            <w:tcW w:type="dxa" w:w="8496"/>
            <w:vAlign w:val="top"/>
            <w:tcMar>
              <w:top w:w="60" w:type="dxa"/>
              <w:start w:w="80" w:type="dxa"/>
              <w:bottom w:w="60" w:type="dxa"/>
              <w:end w:w="80" w:type="dxa"/>
            </w:tcMar>
          </w:tcPr>
          <w:p>
            <w:pPr>
              <w:spacing w:after="20"/>
            </w:pPr>
            <w:r>
              <w:rPr>
                <w:sz w:val="17"/>
              </w:rPr>
              <w:t>Eighteenth century through the late twentieth century, with a contemporary-memory conclusion</w:t>
            </w:r>
          </w:p>
        </w:tc>
      </w:tr>
      <w:tr>
        <w:trPr>
          <w:cantSplit w:val="true"/>
        </w:trPr>
        <w:tc>
          <w:tcPr>
            <w:tcW w:type="dxa" w:w="2160"/>
            <w:vAlign w:val="top"/>
            <w:shd w:fill="F7F3EA"/>
            <w:tcMar>
              <w:top w:w="60" w:type="dxa"/>
              <w:start w:w="80" w:type="dxa"/>
              <w:bottom w:w="60" w:type="dxa"/>
              <w:end w:w="80" w:type="dxa"/>
            </w:tcMar>
          </w:tcPr>
          <w:p>
            <w:pPr>
              <w:spacing w:after="20"/>
            </w:pPr>
            <w:r>
              <w:rPr>
                <w:sz w:val="17"/>
              </w:rPr>
              <w:t>Geography</w:t>
            </w:r>
          </w:p>
        </w:tc>
        <w:tc>
          <w:tcPr>
            <w:tcW w:type="dxa" w:w="8496"/>
            <w:vAlign w:val="top"/>
            <w:shd w:fill="F7F3EA"/>
            <w:tcMar>
              <w:top w:w="60" w:type="dxa"/>
              <w:start w:w="80" w:type="dxa"/>
              <w:bottom w:w="60" w:type="dxa"/>
              <w:end w:w="80" w:type="dxa"/>
            </w:tcMar>
          </w:tcPr>
          <w:p>
            <w:pPr>
              <w:spacing w:after="20"/>
            </w:pPr>
            <w:r>
              <w:rPr>
                <w:sz w:val="17"/>
              </w:rPr>
              <w:t>Continental and borderlands West with Northwest Missouri/Platte Purchase local lens</w:t>
            </w:r>
          </w:p>
        </w:tc>
      </w:tr>
      <w:tr>
        <w:trPr>
          <w:cantSplit w:val="true"/>
        </w:trPr>
        <w:tc>
          <w:tcPr>
            <w:tcW w:type="dxa" w:w="2160"/>
            <w:vAlign w:val="top"/>
            <w:tcMar>
              <w:top w:w="60" w:type="dxa"/>
              <w:start w:w="80" w:type="dxa"/>
              <w:bottom w:w="60" w:type="dxa"/>
              <w:end w:w="80" w:type="dxa"/>
            </w:tcMar>
          </w:tcPr>
          <w:p>
            <w:pPr>
              <w:spacing w:after="20"/>
            </w:pPr>
            <w:r>
              <w:rPr>
                <w:sz w:val="17"/>
              </w:rPr>
              <w:t>OER spine</w:t>
            </w:r>
          </w:p>
        </w:tc>
        <w:tc>
          <w:tcPr>
            <w:tcW w:type="dxa" w:w="8496"/>
            <w:vAlign w:val="top"/>
            <w:tcMar>
              <w:top w:w="60" w:type="dxa"/>
              <w:start w:w="80" w:type="dxa"/>
              <w:bottom w:w="60" w:type="dxa"/>
              <w:end w:w="80" w:type="dxa"/>
            </w:tcMar>
          </w:tcPr>
          <w:p>
            <w:pPr>
              <w:spacing w:after="20"/>
            </w:pPr>
            <w:r>
              <w:rPr>
                <w:sz w:val="17"/>
              </w:rPr>
              <w:t>The American Yawp plus open primary-source collections</w:t>
            </w:r>
          </w:p>
        </w:tc>
      </w:tr>
      <w:tr>
        <w:trPr>
          <w:cantSplit w:val="true"/>
        </w:trPr>
        <w:tc>
          <w:tcPr>
            <w:tcW w:type="dxa" w:w="2160"/>
            <w:vAlign w:val="top"/>
            <w:shd w:fill="F7F3EA"/>
            <w:tcMar>
              <w:top w:w="60" w:type="dxa"/>
              <w:start w:w="80" w:type="dxa"/>
              <w:bottom w:w="60" w:type="dxa"/>
              <w:end w:w="80" w:type="dxa"/>
            </w:tcMar>
          </w:tcPr>
          <w:p>
            <w:pPr>
              <w:spacing w:after="20"/>
            </w:pPr>
            <w:r>
              <w:rPr>
                <w:sz w:val="17"/>
              </w:rPr>
              <w:t>Current scholarship</w:t>
            </w:r>
          </w:p>
        </w:tc>
        <w:tc>
          <w:tcPr>
            <w:tcW w:type="dxa" w:w="8496"/>
            <w:vAlign w:val="top"/>
            <w:shd w:fill="F7F3EA"/>
            <w:tcMar>
              <w:top w:w="60" w:type="dxa"/>
              <w:start w:w="80" w:type="dxa"/>
              <w:bottom w:w="60" w:type="dxa"/>
              <w:end w:w="80" w:type="dxa"/>
            </w:tcMar>
          </w:tcPr>
          <w:p>
            <w:pPr>
              <w:spacing w:after="20"/>
            </w:pPr>
            <w:r>
              <w:rPr>
                <w:sz w:val="17"/>
              </w:rPr>
              <w:t>Recent monographs and Western Historical Quarterly research; access must be verified</w:t>
            </w:r>
          </w:p>
        </w:tc>
      </w:tr>
      <w:tr>
        <w:trPr>
          <w:cantSplit w:val="true"/>
        </w:trPr>
        <w:tc>
          <w:tcPr>
            <w:tcW w:type="dxa" w:w="2160"/>
            <w:vAlign w:val="top"/>
            <w:tcMar>
              <w:top w:w="60" w:type="dxa"/>
              <w:start w:w="80" w:type="dxa"/>
              <w:bottom w:w="60" w:type="dxa"/>
              <w:end w:w="80" w:type="dxa"/>
            </w:tcMar>
          </w:tcPr>
          <w:p>
            <w:pPr>
              <w:spacing w:after="20"/>
            </w:pPr>
            <w:r>
              <w:rPr>
                <w:sz w:val="17"/>
              </w:rPr>
              <w:t>Signature work</w:t>
            </w:r>
          </w:p>
        </w:tc>
        <w:tc>
          <w:tcPr>
            <w:tcW w:type="dxa" w:w="8496"/>
            <w:vAlign w:val="top"/>
            <w:tcMar>
              <w:top w:w="60" w:type="dxa"/>
              <w:start w:w="80" w:type="dxa"/>
              <w:bottom w:w="60" w:type="dxa"/>
              <w:end w:w="80" w:type="dxa"/>
            </w:tcMar>
          </w:tcPr>
          <w:p>
            <w:pPr>
              <w:spacing w:after="20"/>
            </w:pPr>
            <w:r>
              <w:rPr>
                <w:sz w:val="17"/>
              </w:rPr>
              <w:t>Staged local/public-history capstone with oral defense</w:t>
            </w:r>
          </w:p>
        </w:tc>
      </w:tr>
    </w:tbl>
    <w:p>
      <w:pPr>
        <w:spacing w:after="20"/>
      </w:pPr>
    </w:p>
    <w:p>
      <w:pPr>
        <w:pStyle w:val="Heading2"/>
      </w:pPr>
      <w:r>
        <w:t>Course learning outcomes</w:t>
      </w:r>
    </w:p>
    <w:p>
      <w:r>
        <w:t>1. Define and contest “the West” using spatial, temporal, borderlands, environmental, and Indigenous frameworks.</w:t>
      </w:r>
    </w:p>
    <w:p>
      <w:r>
        <w:t>2. Explain changing relationships among Native nations, empires, the United States, Mexico, corporations, migrants, and local communities.</w:t>
      </w:r>
    </w:p>
    <w:p>
      <w:r>
        <w:t>3. Analyze primary sources through sourcing, contextualization, corroboration, and close reading.</w:t>
      </w:r>
    </w:p>
    <w:p>
      <w:r>
        <w:t>4. Construct evidence-based historical arguments that engage recent scholarship and acknowledge uncertainty.</w:t>
      </w:r>
    </w:p>
    <w:p>
      <w:r>
        <w:t>5. Interpret how race, gender, class, labor, environment, and sovereignty shaped western histories.</w:t>
      </w:r>
    </w:p>
    <w:p>
      <w:r>
        <w:t>6. Conduct ethical local or public-history research using archives, digital collections, and responsible citation.</w:t>
      </w:r>
    </w:p>
    <w:p>
      <w:r>
        <w:t>7. Communicate historical interpretations to academic and public audiences in written, visual, and oral forms.</w:t>
      </w:r>
    </w:p>
    <w:p>
      <w:pPr>
        <w:pStyle w:val="Heading2"/>
      </w:pPr>
      <w:r>
        <w:t>Grading architecture</w:t>
      </w:r>
    </w:p>
    <w:tbl>
      <w:tblPr>
        <w:tblStyle w:val="TableGrid"/>
        <w:tblW w:type="auto" w:w="0"/>
        <w:jc w:val="center"/>
        <w:tblLook w:firstColumn="1" w:firstRow="1" w:lastColumn="0" w:lastRow="0" w:noHBand="0" w:noVBand="1" w:val="04A0"/>
      </w:tblPr>
      <w:tblGrid>
        <w:gridCol w:w="3389"/>
        <w:gridCol w:w="3389"/>
        <w:gridCol w:w="3389"/>
      </w:tblGrid>
      <w:tr>
        <w:trPr>
          <w:tblHeader w:val="true"/>
          <w:cantSplit w:val="true"/>
        </w:trPr>
        <w:tc>
          <w:tcPr>
            <w:tcW w:type="dxa" w:w="2880"/>
            <w:shd w:fill="24364B"/>
            <w:vAlign w:val="center"/>
            <w:tcMar>
              <w:top w:w="60" w:type="dxa"/>
              <w:start w:w="80" w:type="dxa"/>
              <w:bottom w:w="60" w:type="dxa"/>
              <w:end w:w="80" w:type="dxa"/>
            </w:tcMar>
          </w:tcPr>
          <w:p>
            <w:r>
              <w:rPr>
                <w:b/>
                <w:color w:val="FFFFFF"/>
                <w:sz w:val="17"/>
              </w:rPr>
              <w:t>Category</w:t>
            </w:r>
          </w:p>
        </w:tc>
        <w:tc>
          <w:tcPr>
            <w:tcW w:type="dxa" w:w="1152"/>
            <w:shd w:fill="24364B"/>
            <w:vAlign w:val="center"/>
            <w:tcMar>
              <w:top w:w="60" w:type="dxa"/>
              <w:start w:w="80" w:type="dxa"/>
              <w:bottom w:w="60" w:type="dxa"/>
              <w:end w:w="80" w:type="dxa"/>
            </w:tcMar>
          </w:tcPr>
          <w:p>
            <w:r>
              <w:rPr>
                <w:b/>
                <w:color w:val="FFFFFF"/>
                <w:sz w:val="17"/>
              </w:rPr>
              <w:t>Weight</w:t>
            </w:r>
          </w:p>
        </w:tc>
        <w:tc>
          <w:tcPr>
            <w:tcW w:type="dxa" w:w="6624"/>
            <w:shd w:fill="24364B"/>
            <w:vAlign w:val="center"/>
            <w:tcMar>
              <w:top w:w="60" w:type="dxa"/>
              <w:start w:w="80" w:type="dxa"/>
              <w:bottom w:w="60" w:type="dxa"/>
              <w:end w:w="80" w:type="dxa"/>
            </w:tcMar>
          </w:tcPr>
          <w:p>
            <w:r>
              <w:rPr>
                <w:b/>
                <w:color w:val="FFFFFF"/>
                <w:sz w:val="17"/>
              </w:rPr>
              <w:t>Primary evidence of learning</w:t>
            </w:r>
          </w:p>
        </w:tc>
      </w:tr>
      <w:tr>
        <w:trPr>
          <w:cantSplit w:val="true"/>
        </w:trPr>
        <w:tc>
          <w:tcPr>
            <w:tcW w:type="dxa" w:w="2880"/>
            <w:vAlign w:val="top"/>
            <w:tcMar>
              <w:top w:w="60" w:type="dxa"/>
              <w:start w:w="80" w:type="dxa"/>
              <w:bottom w:w="60" w:type="dxa"/>
              <w:end w:w="80" w:type="dxa"/>
            </w:tcMar>
          </w:tcPr>
          <w:p>
            <w:pPr>
              <w:spacing w:after="20"/>
            </w:pPr>
            <w:r>
              <w:rPr>
                <w:sz w:val="17"/>
              </w:rPr>
              <w:t>Reading &amp; Reasoning Checks</w:t>
            </w:r>
          </w:p>
        </w:tc>
        <w:tc>
          <w:tcPr>
            <w:tcW w:type="dxa" w:w="1152"/>
            <w:vAlign w:val="top"/>
            <w:tcMar>
              <w:top w:w="60" w:type="dxa"/>
              <w:start w:w="80" w:type="dxa"/>
              <w:bottom w:w="60" w:type="dxa"/>
              <w:end w:w="80" w:type="dxa"/>
            </w:tcMar>
          </w:tcPr>
          <w:p>
            <w:pPr>
              <w:spacing w:after="20"/>
            </w:pPr>
            <w:r>
              <w:rPr>
                <w:sz w:val="17"/>
              </w:rPr>
              <w:t>10%</w:t>
            </w:r>
          </w:p>
        </w:tc>
        <w:tc>
          <w:tcPr>
            <w:tcW w:type="dxa" w:w="6624"/>
            <w:vAlign w:val="top"/>
            <w:tcMar>
              <w:top w:w="60" w:type="dxa"/>
              <w:start w:w="80" w:type="dxa"/>
              <w:bottom w:w="60" w:type="dxa"/>
              <w:end w:w="80" w:type="dxa"/>
            </w:tcMar>
          </w:tcPr>
          <w:p>
            <w:pPr>
              <w:spacing w:after="20"/>
            </w:pPr>
            <w:r>
              <w:rPr>
                <w:sz w:val="17"/>
              </w:rPr>
              <w:t>Retrieval, evidence use, and bounded claims</w:t>
            </w:r>
          </w:p>
        </w:tc>
      </w:tr>
      <w:tr>
        <w:trPr>
          <w:cantSplit w:val="true"/>
        </w:trPr>
        <w:tc>
          <w:tcPr>
            <w:tcW w:type="dxa" w:w="2880"/>
            <w:vAlign w:val="top"/>
            <w:shd w:fill="F7F3EA"/>
            <w:tcMar>
              <w:top w:w="60" w:type="dxa"/>
              <w:start w:w="80" w:type="dxa"/>
              <w:bottom w:w="60" w:type="dxa"/>
              <w:end w:w="80" w:type="dxa"/>
            </w:tcMar>
          </w:tcPr>
          <w:p>
            <w:pPr>
              <w:spacing w:after="20"/>
            </w:pPr>
            <w:r>
              <w:rPr>
                <w:sz w:val="17"/>
              </w:rPr>
              <w:t>Source Reasoning Labs</w:t>
            </w:r>
          </w:p>
        </w:tc>
        <w:tc>
          <w:tcPr>
            <w:tcW w:type="dxa" w:w="1152"/>
            <w:vAlign w:val="top"/>
            <w:shd w:fill="F7F3EA"/>
            <w:tcMar>
              <w:top w:w="60" w:type="dxa"/>
              <w:start w:w="80" w:type="dxa"/>
              <w:bottom w:w="60" w:type="dxa"/>
              <w:end w:w="80" w:type="dxa"/>
            </w:tcMar>
          </w:tcPr>
          <w:p>
            <w:pPr>
              <w:spacing w:after="20"/>
            </w:pPr>
            <w:r>
              <w:rPr>
                <w:sz w:val="17"/>
              </w:rPr>
              <w:t>20%</w:t>
            </w:r>
          </w:p>
        </w:tc>
        <w:tc>
          <w:tcPr>
            <w:tcW w:type="dxa" w:w="6624"/>
            <w:vAlign w:val="top"/>
            <w:shd w:fill="F7F3EA"/>
            <w:tcMar>
              <w:top w:w="60" w:type="dxa"/>
              <w:start w:w="80" w:type="dxa"/>
              <w:bottom w:w="60" w:type="dxa"/>
              <w:end w:w="80" w:type="dxa"/>
            </w:tcMar>
          </w:tcPr>
          <w:p>
            <w:pPr>
              <w:spacing w:after="20"/>
            </w:pPr>
            <w:r>
              <w:rPr>
                <w:sz w:val="17"/>
              </w:rPr>
              <w:t>Annotation, memo, unseen transfer, Decision Record</w:t>
            </w:r>
          </w:p>
        </w:tc>
      </w:tr>
      <w:tr>
        <w:trPr>
          <w:cantSplit w:val="true"/>
        </w:trPr>
        <w:tc>
          <w:tcPr>
            <w:tcW w:type="dxa" w:w="2880"/>
            <w:vAlign w:val="top"/>
            <w:tcMar>
              <w:top w:w="60" w:type="dxa"/>
              <w:start w:w="80" w:type="dxa"/>
              <w:bottom w:w="60" w:type="dxa"/>
              <w:end w:w="80" w:type="dxa"/>
            </w:tcMar>
          </w:tcPr>
          <w:p>
            <w:pPr>
              <w:spacing w:after="20"/>
            </w:pPr>
            <w:r>
              <w:rPr>
                <w:sz w:val="17"/>
              </w:rPr>
              <w:t>Mapping the West</w:t>
            </w:r>
          </w:p>
        </w:tc>
        <w:tc>
          <w:tcPr>
            <w:tcW w:type="dxa" w:w="1152"/>
            <w:vAlign w:val="top"/>
            <w:tcMar>
              <w:top w:w="60" w:type="dxa"/>
              <w:start w:w="80" w:type="dxa"/>
              <w:bottom w:w="60" w:type="dxa"/>
              <w:end w:w="80" w:type="dxa"/>
            </w:tcMar>
          </w:tcPr>
          <w:p>
            <w:pPr>
              <w:spacing w:after="20"/>
            </w:pPr>
            <w:r>
              <w:rPr>
                <w:sz w:val="17"/>
              </w:rPr>
              <w:t>10%</w:t>
            </w:r>
          </w:p>
        </w:tc>
        <w:tc>
          <w:tcPr>
            <w:tcW w:type="dxa" w:w="6624"/>
            <w:vAlign w:val="top"/>
            <w:tcMar>
              <w:top w:w="60" w:type="dxa"/>
              <w:start w:w="80" w:type="dxa"/>
              <w:bottom w:w="60" w:type="dxa"/>
              <w:end w:w="80" w:type="dxa"/>
            </w:tcMar>
          </w:tcPr>
          <w:p>
            <w:pPr>
              <w:spacing w:after="20"/>
            </w:pPr>
            <w:r>
              <w:rPr>
                <w:sz w:val="17"/>
              </w:rPr>
              <w:t>Spatial argument</w:t>
            </w:r>
          </w:p>
        </w:tc>
      </w:tr>
      <w:tr>
        <w:trPr>
          <w:cantSplit w:val="true"/>
        </w:trPr>
        <w:tc>
          <w:tcPr>
            <w:tcW w:type="dxa" w:w="2880"/>
            <w:vAlign w:val="top"/>
            <w:shd w:fill="F7F3EA"/>
            <w:tcMar>
              <w:top w:w="60" w:type="dxa"/>
              <w:start w:w="80" w:type="dxa"/>
              <w:bottom w:w="60" w:type="dxa"/>
              <w:end w:w="80" w:type="dxa"/>
            </w:tcMar>
          </w:tcPr>
          <w:p>
            <w:pPr>
              <w:spacing w:after="20"/>
            </w:pPr>
            <w:r>
              <w:rPr>
                <w:sz w:val="17"/>
              </w:rPr>
              <w:t>Historiographical Judgment Portfolio</w:t>
            </w:r>
          </w:p>
        </w:tc>
        <w:tc>
          <w:tcPr>
            <w:tcW w:type="dxa" w:w="1152"/>
            <w:vAlign w:val="top"/>
            <w:shd w:fill="F7F3EA"/>
            <w:tcMar>
              <w:top w:w="60" w:type="dxa"/>
              <w:start w:w="80" w:type="dxa"/>
              <w:bottom w:w="60" w:type="dxa"/>
              <w:end w:w="80" w:type="dxa"/>
            </w:tcMar>
          </w:tcPr>
          <w:p>
            <w:pPr>
              <w:spacing w:after="20"/>
            </w:pPr>
            <w:r>
              <w:rPr>
                <w:sz w:val="17"/>
              </w:rPr>
              <w:t>20%</w:t>
            </w:r>
          </w:p>
        </w:tc>
        <w:tc>
          <w:tcPr>
            <w:tcW w:type="dxa" w:w="6624"/>
            <w:vAlign w:val="top"/>
            <w:shd w:fill="F7F3EA"/>
            <w:tcMar>
              <w:top w:w="60" w:type="dxa"/>
              <w:start w:w="80" w:type="dxa"/>
              <w:bottom w:w="60" w:type="dxa"/>
              <w:end w:w="80" w:type="dxa"/>
            </w:tcMar>
          </w:tcPr>
          <w:p>
            <w:pPr>
              <w:spacing w:after="20"/>
            </w:pPr>
            <w:r>
              <w:rPr>
                <w:sz w:val="17"/>
              </w:rPr>
              <w:t>Scholarly comparison, unseen synthesis, defense</w:t>
            </w:r>
          </w:p>
        </w:tc>
      </w:tr>
      <w:tr>
        <w:trPr>
          <w:cantSplit w:val="true"/>
        </w:trPr>
        <w:tc>
          <w:tcPr>
            <w:tcW w:type="dxa" w:w="2880"/>
            <w:vAlign w:val="top"/>
            <w:tcMar>
              <w:top w:w="60" w:type="dxa"/>
              <w:start w:w="80" w:type="dxa"/>
              <w:bottom w:w="60" w:type="dxa"/>
              <w:end w:w="80" w:type="dxa"/>
            </w:tcMar>
          </w:tcPr>
          <w:p>
            <w:pPr>
              <w:spacing w:after="20"/>
            </w:pPr>
            <w:r>
              <w:rPr>
                <w:sz w:val="17"/>
              </w:rPr>
              <w:t>Public History Capstone</w:t>
            </w:r>
          </w:p>
        </w:tc>
        <w:tc>
          <w:tcPr>
            <w:tcW w:type="dxa" w:w="1152"/>
            <w:vAlign w:val="top"/>
            <w:tcMar>
              <w:top w:w="60" w:type="dxa"/>
              <w:start w:w="80" w:type="dxa"/>
              <w:bottom w:w="60" w:type="dxa"/>
              <w:end w:w="80" w:type="dxa"/>
            </w:tcMar>
          </w:tcPr>
          <w:p>
            <w:pPr>
              <w:spacing w:after="20"/>
            </w:pPr>
            <w:r>
              <w:rPr>
                <w:sz w:val="17"/>
              </w:rPr>
              <w:t>30%</w:t>
            </w:r>
          </w:p>
        </w:tc>
        <w:tc>
          <w:tcPr>
            <w:tcW w:type="dxa" w:w="6624"/>
            <w:vAlign w:val="top"/>
            <w:tcMar>
              <w:top w:w="60" w:type="dxa"/>
              <w:start w:w="80" w:type="dxa"/>
              <w:bottom w:w="60" w:type="dxa"/>
              <w:end w:w="80" w:type="dxa"/>
            </w:tcMar>
          </w:tcPr>
          <w:p>
            <w:pPr>
              <w:spacing w:after="20"/>
            </w:pPr>
            <w:r>
              <w:rPr>
                <w:sz w:val="17"/>
              </w:rPr>
              <w:t>Research, interpretation, public communication, defense</w:t>
            </w:r>
          </w:p>
        </w:tc>
      </w:tr>
      <w:tr>
        <w:trPr>
          <w:cantSplit w:val="true"/>
        </w:trPr>
        <w:tc>
          <w:tcPr>
            <w:tcW w:type="dxa" w:w="2880"/>
            <w:vAlign w:val="top"/>
            <w:shd w:fill="F7F3EA"/>
            <w:tcMar>
              <w:top w:w="60" w:type="dxa"/>
              <w:start w:w="80" w:type="dxa"/>
              <w:bottom w:w="60" w:type="dxa"/>
              <w:end w:w="80" w:type="dxa"/>
            </w:tcMar>
          </w:tcPr>
          <w:p>
            <w:pPr>
              <w:spacing w:after="20"/>
            </w:pPr>
            <w:r>
              <w:rPr>
                <w:sz w:val="17"/>
              </w:rPr>
              <w:t>Seminar Practice &amp; Reflection</w:t>
            </w:r>
          </w:p>
        </w:tc>
        <w:tc>
          <w:tcPr>
            <w:tcW w:type="dxa" w:w="1152"/>
            <w:vAlign w:val="top"/>
            <w:shd w:fill="F7F3EA"/>
            <w:tcMar>
              <w:top w:w="60" w:type="dxa"/>
              <w:start w:w="80" w:type="dxa"/>
              <w:bottom w:w="60" w:type="dxa"/>
              <w:end w:w="80" w:type="dxa"/>
            </w:tcMar>
          </w:tcPr>
          <w:p>
            <w:pPr>
              <w:spacing w:after="20"/>
            </w:pPr>
            <w:r>
              <w:rPr>
                <w:sz w:val="17"/>
              </w:rPr>
              <w:t>10%</w:t>
            </w:r>
          </w:p>
        </w:tc>
        <w:tc>
          <w:tcPr>
            <w:tcW w:type="dxa" w:w="6624"/>
            <w:vAlign w:val="top"/>
            <w:shd w:fill="F7F3EA"/>
            <w:tcMar>
              <w:top w:w="60" w:type="dxa"/>
              <w:start w:w="80" w:type="dxa"/>
              <w:bottom w:w="60" w:type="dxa"/>
              <w:end w:w="80" w:type="dxa"/>
            </w:tcMar>
          </w:tcPr>
          <w:p>
            <w:pPr>
              <w:spacing w:after="20"/>
            </w:pPr>
            <w:r>
              <w:rPr>
                <w:sz w:val="17"/>
              </w:rPr>
              <w:t>Dated artifacts, teach-backs, evidence audit</w:t>
            </w:r>
          </w:p>
        </w:tc>
      </w:tr>
    </w:tbl>
    <w:p>
      <w:pPr>
        <w:spacing w:after="20"/>
      </w:pPr>
    </w:p>
    <w:p>
      <w:pPr>
        <w:pStyle w:val="Heading2"/>
      </w:pPr>
      <w:r>
        <w:t>Instructor contact and course policies</w:t>
      </w:r>
    </w:p>
    <w:tbl>
      <w:tblPr>
        <w:tblStyle w:val="TableGrid"/>
        <w:tblW w:type="auto" w:w="0"/>
        <w:jc w:val="center"/>
        <w:tblLook w:firstColumn="1" w:firstRow="1" w:lastColumn="0" w:lastRow="0" w:noHBand="0" w:noVBand="1" w:val="04A0"/>
      </w:tblPr>
      <w:tblGrid>
        <w:gridCol w:w="5083"/>
        <w:gridCol w:w="5083"/>
      </w:tblGrid>
      <w:tr>
        <w:trPr>
          <w:tblHeader w:val="true"/>
          <w:cantSplit w:val="true"/>
        </w:trPr>
        <w:tc>
          <w:tcPr>
            <w:tcW w:type="dxa" w:w="1728"/>
            <w:shd w:fill="24364B"/>
            <w:vAlign w:val="center"/>
            <w:tcMar>
              <w:top w:w="60" w:type="dxa"/>
              <w:start w:w="80" w:type="dxa"/>
              <w:bottom w:w="60" w:type="dxa"/>
              <w:end w:w="80" w:type="dxa"/>
            </w:tcMar>
          </w:tcPr>
          <w:p>
            <w:r>
              <w:rPr>
                <w:b/>
                <w:color w:val="FFFFFF"/>
                <w:sz w:val="16"/>
              </w:rPr>
              <w:t>Field</w:t>
            </w:r>
          </w:p>
        </w:tc>
        <w:tc>
          <w:tcPr>
            <w:tcW w:type="dxa" w:w="8928"/>
            <w:shd w:fill="24364B"/>
            <w:vAlign w:val="center"/>
            <w:tcMar>
              <w:top w:w="60" w:type="dxa"/>
              <w:start w:w="80" w:type="dxa"/>
              <w:bottom w:w="60" w:type="dxa"/>
              <w:end w:w="80" w:type="dxa"/>
            </w:tcMar>
          </w:tcPr>
          <w:p>
            <w:r>
              <w:rPr>
                <w:b/>
                <w:color w:val="FFFFFF"/>
                <w:sz w:val="16"/>
              </w:rPr>
              <w:t>Published course information</w:t>
            </w:r>
          </w:p>
        </w:tc>
      </w:tr>
      <w:tr>
        <w:trPr>
          <w:cantSplit w:val="true"/>
        </w:trPr>
        <w:tc>
          <w:tcPr>
            <w:tcW w:type="dxa" w:w="1728"/>
            <w:vAlign w:val="top"/>
            <w:tcMar>
              <w:top w:w="60" w:type="dxa"/>
              <w:start w:w="80" w:type="dxa"/>
              <w:bottom w:w="60" w:type="dxa"/>
              <w:end w:w="80" w:type="dxa"/>
            </w:tcMar>
          </w:tcPr>
          <w:p>
            <w:pPr>
              <w:spacing w:after="20"/>
            </w:pPr>
            <w:r>
              <w:rPr>
                <w:sz w:val="16"/>
              </w:rPr>
              <w:t>Contact</w:t>
            </w:r>
          </w:p>
        </w:tc>
        <w:tc>
          <w:tcPr>
            <w:tcW w:type="dxa" w:w="8928"/>
            <w:vAlign w:val="top"/>
            <w:tcMar>
              <w:top w:w="60" w:type="dxa"/>
              <w:start w:w="80" w:type="dxa"/>
              <w:bottom w:w="60" w:type="dxa"/>
              <w:end w:w="80" w:type="dxa"/>
            </w:tcMar>
          </w:tcPr>
          <w:p>
            <w:pPr>
              <w:spacing w:after="20"/>
            </w:pPr>
            <w:r>
              <w:rPr>
                <w:sz w:val="16"/>
              </w:rPr>
              <w:t>Rob Voss · robvoss@nwmissouri.edu · Valk 120</w:t>
            </w:r>
          </w:p>
        </w:tc>
      </w:tr>
      <w:tr>
        <w:trPr>
          <w:cantSplit w:val="true"/>
        </w:trPr>
        <w:tc>
          <w:tcPr>
            <w:tcW w:type="dxa" w:w="1728"/>
            <w:vAlign w:val="top"/>
            <w:shd w:fill="F7F3EA"/>
            <w:tcMar>
              <w:top w:w="60" w:type="dxa"/>
              <w:start w:w="80" w:type="dxa"/>
              <w:bottom w:w="60" w:type="dxa"/>
              <w:end w:w="80" w:type="dxa"/>
            </w:tcMar>
          </w:tcPr>
          <w:p>
            <w:pPr>
              <w:spacing w:after="20"/>
            </w:pPr>
            <w:r>
              <w:rPr>
                <w:sz w:val="16"/>
              </w:rPr>
              <w:t>Office hours</w:t>
            </w:r>
          </w:p>
        </w:tc>
        <w:tc>
          <w:tcPr>
            <w:tcW w:type="dxa" w:w="8928"/>
            <w:vAlign w:val="top"/>
            <w:shd w:fill="F7F3EA"/>
            <w:tcMar>
              <w:top w:w="60" w:type="dxa"/>
              <w:start w:w="80" w:type="dxa"/>
              <w:bottom w:w="60" w:type="dxa"/>
              <w:end w:w="80" w:type="dxa"/>
            </w:tcMar>
          </w:tcPr>
          <w:p>
            <w:pPr>
              <w:spacing w:after="20"/>
            </w:pPr>
            <w:r>
              <w:rPr>
                <w:sz w:val="16"/>
              </w:rPr>
              <w:t>Monday, Wednesday, and Friday, 8:30–11:00 a.m.</w:t>
            </w:r>
          </w:p>
        </w:tc>
      </w:tr>
      <w:tr>
        <w:trPr>
          <w:cantSplit w:val="true"/>
        </w:trPr>
        <w:tc>
          <w:tcPr>
            <w:tcW w:type="dxa" w:w="1728"/>
            <w:vAlign w:val="top"/>
            <w:tcMar>
              <w:top w:w="60" w:type="dxa"/>
              <w:start w:w="80" w:type="dxa"/>
              <w:bottom w:w="60" w:type="dxa"/>
              <w:end w:w="80" w:type="dxa"/>
            </w:tcMar>
          </w:tcPr>
          <w:p>
            <w:pPr>
              <w:spacing w:after="20"/>
            </w:pPr>
            <w:r>
              <w:rPr>
                <w:sz w:val="16"/>
              </w:rPr>
              <w:t>Attendance</w:t>
            </w:r>
          </w:p>
        </w:tc>
        <w:tc>
          <w:tcPr>
            <w:tcW w:type="dxa" w:w="8928"/>
            <w:vAlign w:val="top"/>
            <w:tcMar>
              <w:top w:w="60" w:type="dxa"/>
              <w:start w:w="80" w:type="dxa"/>
              <w:bottom w:w="60" w:type="dxa"/>
              <w:end w:w="80" w:type="dxa"/>
            </w:tcMar>
          </w:tcPr>
          <w:p>
            <w:pPr>
              <w:spacing w:after="20"/>
            </w:pPr>
            <w:r>
              <w:rPr>
                <w:sz w:val="16"/>
              </w:rPr>
              <w:t>Attendance is required. University-approved absences do not count against the attendance threshold. Students may have up to three counted absences without an automatic grade reduction; each counted absence beyond three lowers the final course grade by one-third of a letter grade.</w:t>
            </w:r>
          </w:p>
        </w:tc>
      </w:tr>
      <w:tr>
        <w:trPr>
          <w:cantSplit w:val="true"/>
        </w:trPr>
        <w:tc>
          <w:tcPr>
            <w:tcW w:type="dxa" w:w="1728"/>
            <w:vAlign w:val="top"/>
            <w:shd w:fill="F7F3EA"/>
            <w:tcMar>
              <w:top w:w="60" w:type="dxa"/>
              <w:start w:w="80" w:type="dxa"/>
              <w:bottom w:w="60" w:type="dxa"/>
              <w:end w:w="80" w:type="dxa"/>
            </w:tcMar>
          </w:tcPr>
          <w:p>
            <w:pPr>
              <w:spacing w:after="20"/>
            </w:pPr>
            <w:r>
              <w:rPr>
                <w:sz w:val="16"/>
              </w:rPr>
              <w:t>Deadlines</w:t>
            </w:r>
          </w:p>
        </w:tc>
        <w:tc>
          <w:tcPr>
            <w:tcW w:type="dxa" w:w="8928"/>
            <w:vAlign w:val="top"/>
            <w:shd w:fill="F7F3EA"/>
            <w:tcMar>
              <w:top w:w="60" w:type="dxa"/>
              <w:start w:w="80" w:type="dxa"/>
              <w:bottom w:w="60" w:type="dxa"/>
              <w:end w:w="80" w:type="dxa"/>
            </w:tcMar>
          </w:tcPr>
          <w:p>
            <w:pPr>
              <w:spacing w:after="20"/>
            </w:pPr>
            <w:r>
              <w:rPr>
                <w:sz w:val="16"/>
              </w:rPr>
              <w:t>Assignments are generally due Friday at 11:59 p.m. Central. A no-penalty, no-permission-needed grace period extends through Sunday at 11:59 p.m. Work is not accepted after Sunday unless the instructor approved an extension in advance or extenuating circumstances apply.</w:t>
            </w:r>
          </w:p>
        </w:tc>
      </w:tr>
    </w:tbl>
    <w:p>
      <w:pPr>
        <w:spacing w:after="20"/>
      </w:pPr>
    </w:p>
    <w:p>
      <w:pPr>
        <w:pStyle w:val="Heading2"/>
      </w:pPr>
      <w:r>
        <w:t>Common Decision Record</w:t>
      </w:r>
    </w:p>
    <w:p>
      <w:pPr>
        <w:keepLines/>
        <w:spacing w:after="30"/>
        <w:ind w:left="317" w:hanging="230"/>
      </w:pPr>
      <w:r>
        <w:rPr>
          <w:b/>
        </w:rPr>
        <w:t xml:space="preserve">• </w:t>
      </w:r>
      <w:r>
        <w:t>State your initial claim or plan before substantial AI assistance.</w:t>
      </w:r>
    </w:p>
    <w:p>
      <w:pPr>
        <w:keepLines/>
        <w:spacing w:after="30"/>
        <w:ind w:left="317" w:hanging="230"/>
      </w:pPr>
      <w:r>
        <w:rPr>
          <w:b/>
        </w:rPr>
        <w:t xml:space="preserve">• </w:t>
      </w:r>
      <w:r>
        <w:t>Name the most consequential interpretive choice you made and explain why.</w:t>
      </w:r>
    </w:p>
    <w:p>
      <w:pPr>
        <w:keepLines/>
        <w:spacing w:after="30"/>
        <w:ind w:left="317" w:hanging="230"/>
      </w:pPr>
      <w:r>
        <w:rPr>
          <w:b/>
        </w:rPr>
        <w:t xml:space="preserve">• </w:t>
      </w:r>
      <w:r>
        <w:t>Identify one plausible alternative you rejected and the evidence behind that decision.</w:t>
      </w:r>
    </w:p>
    <w:p>
      <w:pPr>
        <w:keepLines/>
        <w:spacing w:after="30"/>
        <w:ind w:left="317" w:hanging="230"/>
      </w:pPr>
      <w:r>
        <w:rPr>
          <w:b/>
        </w:rPr>
        <w:t xml:space="preserve">• </w:t>
      </w:r>
      <w:r>
        <w:t>Name evidence that changed, narrowed, or complicated your thinking.</w:t>
      </w:r>
    </w:p>
    <w:p>
      <w:pPr>
        <w:keepLines/>
        <w:spacing w:after="30"/>
        <w:ind w:left="317" w:hanging="230"/>
      </w:pPr>
      <w:r>
        <w:rPr>
          <w:b/>
        </w:rPr>
        <w:t xml:space="preserve">• </w:t>
      </w:r>
      <w:r>
        <w:t>State one claim you cannot fully establish with the available evidence.</w:t>
      </w:r>
    </w:p>
    <w:p>
      <w:pPr>
        <w:keepLines/>
        <w:spacing w:after="30"/>
        <w:ind w:left="317" w:hanging="230"/>
      </w:pPr>
      <w:r>
        <w:rPr>
          <w:b/>
        </w:rPr>
        <w:t xml:space="preserve">• </w:t>
      </w:r>
      <w:r>
        <w:t>Record AI use: tool, purpose, what you accepted, rejected, and verified—or write ‘No generative AI used.’</w:t>
      </w:r>
    </w:p>
    <w:tbl>
      <w:tblPr>
        <w:tblStyle w:val="TableGrid"/>
        <w:tblW w:type="auto" w:w="0"/>
        <w:tblLook w:firstColumn="1" w:firstRow="1" w:lastColumn="0" w:lastRow="0" w:noHBand="0" w:noVBand="1" w:val="04A0"/>
      </w:tblPr>
      <w:tblGrid>
        <w:gridCol w:w="10166"/>
      </w:tblGrid>
      <w:tr>
        <w:trPr>
          <w:cantSplit/>
          <w:tblHeader/>
        </w:trPr>
        <w:tc>
          <w:tcPr>
            <w:tcW w:type="dxa" w:w="10166"/>
            <w:shd w:fill="F7F3EA"/>
            <w:tcMar>
              <w:top w:w="110" w:type="dxa"/>
              <w:start w:w="140" w:type="dxa"/>
              <w:bottom w:w="110" w:type="dxa"/>
              <w:end w:w="140" w:type="dxa"/>
            </w:tcMar>
          </w:tcPr>
          <w:p>
            <w:r>
              <w:rPr>
                <w:b/>
                <w:color w:val="A04E32"/>
              </w:rPr>
              <w:t>AI design principle</w:t>
              <w:br/>
            </w:r>
            <w:r>
              <w:t>AI may support production, but it may not substitute for historical judgment. Faculty remain the instructor and final decision maker for course content, policies, evidence, grading, and student support.</w:t>
            </w:r>
          </w:p>
        </w:tc>
      </w:tr>
    </w:tbl>
    <w:p>
      <w:pPr>
        <w:spacing w:after="20"/>
      </w:pPr>
    </w:p>
    <w:p>
      <w:pPr>
        <w:pStyle w:val="Heading1"/>
      </w:pPr>
      <w:r>
        <w:t>2. Design Rationale and Alignment</w:t>
      </w:r>
    </w:p>
    <w:p>
      <w:r>
        <w:t>The course combines backwards design with an inquiry cycle. Outcomes emphasize historical knowledge, source analysis, argument, ethical research, and public communication. Each module begins with a problem, moves through primary evidence, tests interpretation, and ends in a small product or reflection.</w:t>
      </w:r>
    </w:p>
    <w:tbl>
      <w:tblPr>
        <w:tblStyle w:val="TableGrid"/>
        <w:tblW w:type="auto" w:w="0"/>
        <w:jc w:val="center"/>
        <w:tblLook w:firstColumn="1" w:firstRow="1" w:lastColumn="0" w:lastRow="0" w:noHBand="0" w:noVBand="1" w:val="04A0"/>
      </w:tblPr>
      <w:tblGrid>
        <w:gridCol w:w="3389"/>
        <w:gridCol w:w="3389"/>
        <w:gridCol w:w="3389"/>
      </w:tblGrid>
      <w:tr>
        <w:trPr>
          <w:tblHeader w:val="true"/>
          <w:cantSplit w:val="true"/>
        </w:trPr>
        <w:tc>
          <w:tcPr>
            <w:tcW w:type="dxa" w:w="2016"/>
            <w:shd w:fill="24364B"/>
            <w:vAlign w:val="center"/>
            <w:tcMar>
              <w:top w:w="60" w:type="dxa"/>
              <w:start w:w="80" w:type="dxa"/>
              <w:bottom w:w="60" w:type="dxa"/>
              <w:end w:w="80" w:type="dxa"/>
            </w:tcMar>
          </w:tcPr>
          <w:p>
            <w:r>
              <w:rPr>
                <w:b/>
                <w:color w:val="FFFFFF"/>
                <w:sz w:val="17"/>
              </w:rPr>
              <w:t>Design move</w:t>
            </w:r>
          </w:p>
        </w:tc>
        <w:tc>
          <w:tcPr>
            <w:tcW w:type="dxa" w:w="5328"/>
            <w:shd w:fill="24364B"/>
            <w:vAlign w:val="center"/>
            <w:tcMar>
              <w:top w:w="60" w:type="dxa"/>
              <w:start w:w="80" w:type="dxa"/>
              <w:bottom w:w="60" w:type="dxa"/>
              <w:end w:w="80" w:type="dxa"/>
            </w:tcMar>
          </w:tcPr>
          <w:p>
            <w:r>
              <w:rPr>
                <w:b/>
                <w:color w:val="FFFFFF"/>
                <w:sz w:val="17"/>
              </w:rPr>
              <w:t>Implementation</w:t>
            </w:r>
          </w:p>
        </w:tc>
        <w:tc>
          <w:tcPr>
            <w:tcW w:type="dxa" w:w="3312"/>
            <w:shd w:fill="24364B"/>
            <w:vAlign w:val="center"/>
            <w:tcMar>
              <w:top w:w="60" w:type="dxa"/>
              <w:start w:w="80" w:type="dxa"/>
              <w:bottom w:w="60" w:type="dxa"/>
              <w:end w:w="80" w:type="dxa"/>
            </w:tcMar>
          </w:tcPr>
          <w:p>
            <w:r>
              <w:rPr>
                <w:b/>
                <w:color w:val="FFFFFF"/>
                <w:sz w:val="17"/>
              </w:rPr>
              <w:t>Evidence base</w:t>
            </w:r>
          </w:p>
        </w:tc>
      </w:tr>
      <w:tr>
        <w:trPr>
          <w:cantSplit w:val="true"/>
        </w:trPr>
        <w:tc>
          <w:tcPr>
            <w:tcW w:type="dxa" w:w="2016"/>
            <w:vAlign w:val="top"/>
            <w:tcMar>
              <w:top w:w="60" w:type="dxa"/>
              <w:start w:w="80" w:type="dxa"/>
              <w:bottom w:w="60" w:type="dxa"/>
              <w:end w:w="80" w:type="dxa"/>
            </w:tcMar>
          </w:tcPr>
          <w:p>
            <w:pPr>
              <w:spacing w:after="20"/>
            </w:pPr>
            <w:r>
              <w:rPr>
                <w:sz w:val="17"/>
              </w:rPr>
              <w:t>Historical thinking</w:t>
            </w:r>
          </w:p>
        </w:tc>
        <w:tc>
          <w:tcPr>
            <w:tcW w:type="dxa" w:w="5328"/>
            <w:vAlign w:val="top"/>
            <w:tcMar>
              <w:top w:w="60" w:type="dxa"/>
              <w:start w:w="80" w:type="dxa"/>
              <w:bottom w:w="60" w:type="dxa"/>
              <w:end w:w="80" w:type="dxa"/>
            </w:tcMar>
          </w:tcPr>
          <w:p>
            <w:pPr>
              <w:spacing w:after="20"/>
            </w:pPr>
            <w:r>
              <w:rPr>
                <w:sz w:val="17"/>
              </w:rPr>
              <w:t>Sourcing, contextualization, corroboration, close reading in every source lab</w:t>
            </w:r>
          </w:p>
        </w:tc>
        <w:tc>
          <w:tcPr>
            <w:tcW w:type="dxa" w:w="3312"/>
            <w:vAlign w:val="top"/>
            <w:tcMar>
              <w:top w:w="60" w:type="dxa"/>
              <w:start w:w="80" w:type="dxa"/>
              <w:bottom w:w="60" w:type="dxa"/>
              <w:end w:w="80" w:type="dxa"/>
            </w:tcMar>
          </w:tcPr>
          <w:p>
            <w:pPr>
              <w:spacing w:after="20"/>
            </w:pPr>
            <w:r>
              <w:rPr>
                <w:sz w:val="17"/>
              </w:rPr>
              <w:t>AHA Core Outcomes; Digital Inquiry Group</w:t>
            </w:r>
          </w:p>
        </w:tc>
      </w:tr>
      <w:tr>
        <w:trPr>
          <w:cantSplit w:val="true"/>
        </w:trPr>
        <w:tc>
          <w:tcPr>
            <w:tcW w:type="dxa" w:w="2016"/>
            <w:vAlign w:val="top"/>
            <w:shd w:fill="F7F3EA"/>
            <w:tcMar>
              <w:top w:w="60" w:type="dxa"/>
              <w:start w:w="80" w:type="dxa"/>
              <w:bottom w:w="60" w:type="dxa"/>
              <w:end w:w="80" w:type="dxa"/>
            </w:tcMar>
          </w:tcPr>
          <w:p>
            <w:pPr>
              <w:spacing w:after="20"/>
            </w:pPr>
            <w:r>
              <w:rPr>
                <w:sz w:val="17"/>
              </w:rPr>
              <w:t>Transparency</w:t>
            </w:r>
          </w:p>
        </w:tc>
        <w:tc>
          <w:tcPr>
            <w:tcW w:type="dxa" w:w="5328"/>
            <w:vAlign w:val="top"/>
            <w:shd w:fill="F7F3EA"/>
            <w:tcMar>
              <w:top w:w="60" w:type="dxa"/>
              <w:start w:w="80" w:type="dxa"/>
              <w:bottom w:w="60" w:type="dxa"/>
              <w:end w:w="80" w:type="dxa"/>
            </w:tcMar>
          </w:tcPr>
          <w:p>
            <w:pPr>
              <w:spacing w:after="20"/>
            </w:pPr>
            <w:r>
              <w:rPr>
                <w:sz w:val="17"/>
              </w:rPr>
              <w:t>Every assignment states purpose, task, submission, and criteria</w:t>
            </w:r>
          </w:p>
        </w:tc>
        <w:tc>
          <w:tcPr>
            <w:tcW w:type="dxa" w:w="3312"/>
            <w:vAlign w:val="top"/>
            <w:shd w:fill="F7F3EA"/>
            <w:tcMar>
              <w:top w:w="60" w:type="dxa"/>
              <w:start w:w="80" w:type="dxa"/>
              <w:bottom w:w="60" w:type="dxa"/>
              <w:end w:w="80" w:type="dxa"/>
            </w:tcMar>
          </w:tcPr>
          <w:p>
            <w:pPr>
              <w:spacing w:after="20"/>
            </w:pPr>
            <w:r>
              <w:rPr>
                <w:sz w:val="17"/>
              </w:rPr>
              <w:t>Transparency in Learning and Teaching</w:t>
            </w:r>
          </w:p>
        </w:tc>
      </w:tr>
      <w:tr>
        <w:trPr>
          <w:cantSplit w:val="true"/>
        </w:trPr>
        <w:tc>
          <w:tcPr>
            <w:tcW w:type="dxa" w:w="2016"/>
            <w:vAlign w:val="top"/>
            <w:tcMar>
              <w:top w:w="60" w:type="dxa"/>
              <w:start w:w="80" w:type="dxa"/>
              <w:bottom w:w="60" w:type="dxa"/>
              <w:end w:w="80" w:type="dxa"/>
            </w:tcMar>
          </w:tcPr>
          <w:p>
            <w:pPr>
              <w:spacing w:after="20"/>
            </w:pPr>
            <w:r>
              <w:rPr>
                <w:sz w:val="17"/>
              </w:rPr>
              <w:t>Access</w:t>
            </w:r>
          </w:p>
        </w:tc>
        <w:tc>
          <w:tcPr>
            <w:tcW w:type="dxa" w:w="5328"/>
            <w:vAlign w:val="top"/>
            <w:tcMar>
              <w:top w:w="60" w:type="dxa"/>
              <w:start w:w="80" w:type="dxa"/>
              <w:bottom w:w="60" w:type="dxa"/>
              <w:end w:w="80" w:type="dxa"/>
            </w:tcMar>
          </w:tcPr>
          <w:p>
            <w:pPr>
              <w:spacing w:after="20"/>
            </w:pPr>
            <w:r>
              <w:rPr>
                <w:sz w:val="17"/>
              </w:rPr>
              <w:t>Multiple formats, descriptive links, captions/transcripts, equivalent-format pathway</w:t>
            </w:r>
          </w:p>
        </w:tc>
        <w:tc>
          <w:tcPr>
            <w:tcW w:type="dxa" w:w="3312"/>
            <w:vAlign w:val="top"/>
            <w:tcMar>
              <w:top w:w="60" w:type="dxa"/>
              <w:start w:w="80" w:type="dxa"/>
              <w:bottom w:w="60" w:type="dxa"/>
              <w:end w:w="80" w:type="dxa"/>
            </w:tcMar>
          </w:tcPr>
          <w:p>
            <w:pPr>
              <w:spacing w:after="20"/>
            </w:pPr>
            <w:r>
              <w:rPr>
                <w:sz w:val="17"/>
              </w:rPr>
              <w:t>CAST UDL 3.0; accessibility practice</w:t>
            </w:r>
          </w:p>
        </w:tc>
      </w:tr>
      <w:tr>
        <w:trPr>
          <w:cantSplit w:val="true"/>
        </w:trPr>
        <w:tc>
          <w:tcPr>
            <w:tcW w:type="dxa" w:w="2016"/>
            <w:vAlign w:val="top"/>
            <w:shd w:fill="F7F3EA"/>
            <w:tcMar>
              <w:top w:w="60" w:type="dxa"/>
              <w:start w:w="80" w:type="dxa"/>
              <w:bottom w:w="60" w:type="dxa"/>
              <w:end w:w="80" w:type="dxa"/>
            </w:tcMar>
          </w:tcPr>
          <w:p>
            <w:pPr>
              <w:spacing w:after="20"/>
            </w:pPr>
            <w:r>
              <w:rPr>
                <w:sz w:val="17"/>
              </w:rPr>
              <w:t>Retrieval and feedback</w:t>
            </w:r>
          </w:p>
        </w:tc>
        <w:tc>
          <w:tcPr>
            <w:tcW w:type="dxa" w:w="5328"/>
            <w:vAlign w:val="top"/>
            <w:shd w:fill="F7F3EA"/>
            <w:tcMar>
              <w:top w:w="60" w:type="dxa"/>
              <w:start w:w="80" w:type="dxa"/>
              <w:bottom w:w="60" w:type="dxa"/>
              <w:end w:w="80" w:type="dxa"/>
            </w:tcMar>
          </w:tcPr>
          <w:p>
            <w:pPr>
              <w:spacing w:after="20"/>
            </w:pPr>
            <w:r>
              <w:rPr>
                <w:sz w:val="17"/>
              </w:rPr>
              <w:t>Ten low-stakes checks, exit tickets, scaffolded capstone checkpoints</w:t>
            </w:r>
          </w:p>
        </w:tc>
        <w:tc>
          <w:tcPr>
            <w:tcW w:type="dxa" w:w="3312"/>
            <w:vAlign w:val="top"/>
            <w:shd w:fill="F7F3EA"/>
            <w:tcMar>
              <w:top w:w="60" w:type="dxa"/>
              <w:start w:w="80" w:type="dxa"/>
              <w:bottom w:w="60" w:type="dxa"/>
              <w:end w:w="80" w:type="dxa"/>
            </w:tcMar>
          </w:tcPr>
          <w:p>
            <w:pPr>
              <w:spacing w:after="20"/>
            </w:pPr>
            <w:r>
              <w:rPr>
                <w:sz w:val="17"/>
              </w:rPr>
              <w:t>Learning-science-informed course design</w:t>
            </w:r>
          </w:p>
        </w:tc>
      </w:tr>
      <w:tr>
        <w:trPr>
          <w:cantSplit w:val="true"/>
        </w:trPr>
        <w:tc>
          <w:tcPr>
            <w:tcW w:type="dxa" w:w="2016"/>
            <w:vAlign w:val="top"/>
            <w:tcMar>
              <w:top w:w="60" w:type="dxa"/>
              <w:start w:w="80" w:type="dxa"/>
              <w:bottom w:w="60" w:type="dxa"/>
              <w:end w:w="80" w:type="dxa"/>
            </w:tcMar>
          </w:tcPr>
          <w:p>
            <w:pPr>
              <w:spacing w:after="20"/>
            </w:pPr>
            <w:r>
              <w:rPr>
                <w:sz w:val="17"/>
              </w:rPr>
              <w:t>Place-based learning</w:t>
            </w:r>
          </w:p>
        </w:tc>
        <w:tc>
          <w:tcPr>
            <w:tcW w:type="dxa" w:w="5328"/>
            <w:vAlign w:val="top"/>
            <w:tcMar>
              <w:top w:w="60" w:type="dxa"/>
              <w:start w:w="80" w:type="dxa"/>
              <w:bottom w:w="60" w:type="dxa"/>
              <w:end w:w="80" w:type="dxa"/>
            </w:tcMar>
          </w:tcPr>
          <w:p>
            <w:pPr>
              <w:spacing w:after="20"/>
            </w:pPr>
            <w:r>
              <w:rPr>
                <w:sz w:val="17"/>
              </w:rPr>
              <w:t>Northwest Archives, Missouri Digital Heritage, and Platte Purchase records</w:t>
            </w:r>
          </w:p>
        </w:tc>
        <w:tc>
          <w:tcPr>
            <w:tcW w:type="dxa" w:w="3312"/>
            <w:vAlign w:val="top"/>
            <w:tcMar>
              <w:top w:w="60" w:type="dxa"/>
              <w:start w:w="80" w:type="dxa"/>
              <w:bottom w:w="60" w:type="dxa"/>
              <w:end w:w="80" w:type="dxa"/>
            </w:tcMar>
          </w:tcPr>
          <w:p>
            <w:pPr>
              <w:spacing w:after="20"/>
            </w:pPr>
            <w:r>
              <w:rPr>
                <w:sz w:val="17"/>
              </w:rPr>
              <w:t>NWMSU public-history and research orientation</w:t>
            </w:r>
          </w:p>
        </w:tc>
      </w:tr>
    </w:tbl>
    <w:p>
      <w:pPr>
        <w:spacing w:after="20"/>
      </w:pPr>
    </w:p>
    <w:p>
      <w:pPr>
        <w:pStyle w:val="Heading2"/>
      </w:pPr>
      <w:r>
        <w:t>Outcome–assessment map</w:t>
      </w:r>
    </w:p>
    <w:tbl>
      <w:tblPr>
        <w:tblStyle w:val="TableGrid"/>
        <w:tblW w:type="auto" w:w="0"/>
        <w:jc w:val="center"/>
        <w:tblLook w:firstColumn="1" w:firstRow="1" w:lastColumn="0" w:lastRow="0" w:noHBand="0" w:noVBand="1" w:val="04A0"/>
      </w:tblPr>
      <w:tblGrid>
        <w:gridCol w:w="1694"/>
        <w:gridCol w:w="1694"/>
        <w:gridCol w:w="1694"/>
        <w:gridCol w:w="1694"/>
        <w:gridCol w:w="1694"/>
        <w:gridCol w:w="1694"/>
      </w:tblGrid>
      <w:tr>
        <w:trPr>
          <w:tblHeader w:val="true"/>
          <w:cantSplit w:val="true"/>
        </w:trPr>
        <w:tc>
          <w:tcPr>
            <w:tcW w:type="dxa" w:w="3888"/>
            <w:shd w:fill="24364B"/>
            <w:vAlign w:val="center"/>
            <w:tcMar>
              <w:top w:w="60" w:type="dxa"/>
              <w:start w:w="80" w:type="dxa"/>
              <w:bottom w:w="60" w:type="dxa"/>
              <w:end w:w="80" w:type="dxa"/>
            </w:tcMar>
          </w:tcPr>
          <w:p>
            <w:r>
              <w:rPr>
                <w:b/>
                <w:color w:val="FFFFFF"/>
                <w:sz w:val="15"/>
              </w:rPr>
              <w:t>Outcome</w:t>
            </w:r>
          </w:p>
        </w:tc>
        <w:tc>
          <w:tcPr>
            <w:tcW w:type="dxa" w:w="1152"/>
            <w:shd w:fill="24364B"/>
            <w:vAlign w:val="center"/>
            <w:tcMar>
              <w:top w:w="60" w:type="dxa"/>
              <w:start w:w="80" w:type="dxa"/>
              <w:bottom w:w="60" w:type="dxa"/>
              <w:end w:w="80" w:type="dxa"/>
            </w:tcMar>
          </w:tcPr>
          <w:p>
            <w:r>
              <w:rPr>
                <w:b/>
                <w:color w:val="FFFFFF"/>
                <w:sz w:val="15"/>
              </w:rPr>
              <w:t>Reading checks</w:t>
            </w:r>
          </w:p>
        </w:tc>
        <w:tc>
          <w:tcPr>
            <w:tcW w:type="dxa" w:w="864"/>
            <w:shd w:fill="24364B"/>
            <w:vAlign w:val="center"/>
            <w:tcMar>
              <w:top w:w="60" w:type="dxa"/>
              <w:start w:w="80" w:type="dxa"/>
              <w:bottom w:w="60" w:type="dxa"/>
              <w:end w:w="80" w:type="dxa"/>
            </w:tcMar>
          </w:tcPr>
          <w:p>
            <w:r>
              <w:rPr>
                <w:b/>
                <w:color w:val="FFFFFF"/>
                <w:sz w:val="15"/>
              </w:rPr>
              <w:t>Labs</w:t>
            </w:r>
          </w:p>
        </w:tc>
        <w:tc>
          <w:tcPr>
            <w:tcW w:type="dxa" w:w="864"/>
            <w:shd w:fill="24364B"/>
            <w:vAlign w:val="center"/>
            <w:tcMar>
              <w:top w:w="60" w:type="dxa"/>
              <w:start w:w="80" w:type="dxa"/>
              <w:bottom w:w="60" w:type="dxa"/>
              <w:end w:w="80" w:type="dxa"/>
            </w:tcMar>
          </w:tcPr>
          <w:p>
            <w:r>
              <w:rPr>
                <w:b/>
                <w:color w:val="FFFFFF"/>
                <w:sz w:val="15"/>
              </w:rPr>
              <w:t>Map</w:t>
            </w:r>
          </w:p>
        </w:tc>
        <w:tc>
          <w:tcPr>
            <w:tcW w:type="dxa" w:w="1152"/>
            <w:shd w:fill="24364B"/>
            <w:vAlign w:val="center"/>
            <w:tcMar>
              <w:top w:w="60" w:type="dxa"/>
              <w:start w:w="80" w:type="dxa"/>
              <w:bottom w:w="60" w:type="dxa"/>
              <w:end w:w="80" w:type="dxa"/>
            </w:tcMar>
          </w:tcPr>
          <w:p>
            <w:r>
              <w:rPr>
                <w:b/>
                <w:color w:val="FFFFFF"/>
                <w:sz w:val="15"/>
              </w:rPr>
              <w:t>Midterm</w:t>
            </w:r>
          </w:p>
        </w:tc>
        <w:tc>
          <w:tcPr>
            <w:tcW w:type="dxa" w:w="1152"/>
            <w:shd w:fill="24364B"/>
            <w:vAlign w:val="center"/>
            <w:tcMar>
              <w:top w:w="60" w:type="dxa"/>
              <w:start w:w="80" w:type="dxa"/>
              <w:bottom w:w="60" w:type="dxa"/>
              <w:end w:w="80" w:type="dxa"/>
            </w:tcMar>
          </w:tcPr>
          <w:p>
            <w:r>
              <w:rPr>
                <w:b/>
                <w:color w:val="FFFFFF"/>
                <w:sz w:val="15"/>
              </w:rPr>
              <w:t>Capstone</w:t>
            </w:r>
          </w:p>
        </w:tc>
      </w:tr>
      <w:tr>
        <w:trPr>
          <w:cantSplit w:val="true"/>
        </w:trPr>
        <w:tc>
          <w:tcPr>
            <w:tcW w:type="dxa" w:w="3888"/>
            <w:vAlign w:val="top"/>
            <w:tcMar>
              <w:top w:w="60" w:type="dxa"/>
              <w:start w:w="80" w:type="dxa"/>
              <w:bottom w:w="60" w:type="dxa"/>
              <w:end w:w="80" w:type="dxa"/>
            </w:tcMar>
          </w:tcPr>
          <w:p>
            <w:pPr>
              <w:spacing w:after="20"/>
            </w:pPr>
            <w:r>
              <w:rPr>
                <w:sz w:val="15"/>
              </w:rPr>
              <w:t>1. Define/contest the West</w:t>
            </w:r>
          </w:p>
        </w:tc>
        <w:tc>
          <w:tcPr>
            <w:tcW w:type="dxa" w:w="1152"/>
            <w:vAlign w:val="top"/>
            <w:tcMar>
              <w:top w:w="60" w:type="dxa"/>
              <w:start w:w="80" w:type="dxa"/>
              <w:bottom w:w="60" w:type="dxa"/>
              <w:end w:w="80" w:type="dxa"/>
            </w:tcMar>
          </w:tcPr>
          <w:p>
            <w:pPr>
              <w:spacing w:after="20"/>
            </w:pPr>
            <w:r>
              <w:rPr>
                <w:sz w:val="15"/>
              </w:rPr>
              <w:t>I</w:t>
            </w:r>
          </w:p>
        </w:tc>
        <w:tc>
          <w:tcPr>
            <w:tcW w:type="dxa" w:w="864"/>
            <w:vAlign w:val="top"/>
            <w:tcMar>
              <w:top w:w="60" w:type="dxa"/>
              <w:start w:w="80" w:type="dxa"/>
              <w:bottom w:w="60" w:type="dxa"/>
              <w:end w:w="80" w:type="dxa"/>
            </w:tcMar>
          </w:tcPr>
          <w:p>
            <w:pPr>
              <w:spacing w:after="20"/>
            </w:pPr>
            <w:r>
              <w:rPr>
                <w:sz w:val="15"/>
              </w:rPr>
              <w:t>P</w:t>
            </w:r>
          </w:p>
        </w:tc>
        <w:tc>
          <w:tcPr>
            <w:tcW w:type="dxa" w:w="864"/>
            <w:vAlign w:val="top"/>
            <w:tcMar>
              <w:top w:w="60" w:type="dxa"/>
              <w:start w:w="80" w:type="dxa"/>
              <w:bottom w:w="60" w:type="dxa"/>
              <w:end w:w="80" w:type="dxa"/>
            </w:tcMar>
          </w:tcPr>
          <w:p>
            <w:pPr>
              <w:spacing w:after="20"/>
            </w:pPr>
            <w:r>
              <w:rPr>
                <w:sz w:val="15"/>
              </w:rPr>
              <w:t>D</w:t>
            </w:r>
          </w:p>
        </w:tc>
        <w:tc>
          <w:tcPr>
            <w:tcW w:type="dxa" w:w="1152"/>
            <w:vAlign w:val="top"/>
            <w:tcMar>
              <w:top w:w="60" w:type="dxa"/>
              <w:start w:w="80" w:type="dxa"/>
              <w:bottom w:w="60" w:type="dxa"/>
              <w:end w:w="80" w:type="dxa"/>
            </w:tcMar>
          </w:tcPr>
          <w:p>
            <w:pPr>
              <w:spacing w:after="20"/>
            </w:pPr>
            <w:r>
              <w:rPr>
                <w:sz w:val="15"/>
              </w:rPr>
              <w:t>P</w:t>
            </w:r>
          </w:p>
        </w:tc>
        <w:tc>
          <w:tcPr>
            <w:tcW w:type="dxa" w:w="1152"/>
            <w:vAlign w:val="top"/>
            <w:tcMar>
              <w:top w:w="60" w:type="dxa"/>
              <w:start w:w="80" w:type="dxa"/>
              <w:bottom w:w="60" w:type="dxa"/>
              <w:end w:w="80" w:type="dxa"/>
            </w:tcMar>
          </w:tcPr>
          <w:p>
            <w:pPr>
              <w:spacing w:after="20"/>
            </w:pPr>
            <w:r>
              <w:rPr>
                <w:sz w:val="15"/>
              </w:rPr>
              <w:t>D</w:t>
            </w:r>
          </w:p>
        </w:tc>
      </w:tr>
      <w:tr>
        <w:trPr>
          <w:cantSplit w:val="true"/>
        </w:trPr>
        <w:tc>
          <w:tcPr>
            <w:tcW w:type="dxa" w:w="3888"/>
            <w:vAlign w:val="top"/>
            <w:shd w:fill="F7F3EA"/>
            <w:tcMar>
              <w:top w:w="60" w:type="dxa"/>
              <w:start w:w="80" w:type="dxa"/>
              <w:bottom w:w="60" w:type="dxa"/>
              <w:end w:w="80" w:type="dxa"/>
            </w:tcMar>
          </w:tcPr>
          <w:p>
            <w:pPr>
              <w:spacing w:after="20"/>
            </w:pPr>
            <w:r>
              <w:rPr>
                <w:sz w:val="15"/>
              </w:rPr>
              <w:t>2. Explain power and change</w:t>
            </w:r>
          </w:p>
        </w:tc>
        <w:tc>
          <w:tcPr>
            <w:tcW w:type="dxa" w:w="1152"/>
            <w:vAlign w:val="top"/>
            <w:shd w:fill="F7F3EA"/>
            <w:tcMar>
              <w:top w:w="60" w:type="dxa"/>
              <w:start w:w="80" w:type="dxa"/>
              <w:bottom w:w="60" w:type="dxa"/>
              <w:end w:w="80" w:type="dxa"/>
            </w:tcMar>
          </w:tcPr>
          <w:p>
            <w:pPr>
              <w:spacing w:after="20"/>
            </w:pPr>
            <w:r>
              <w:rPr>
                <w:sz w:val="15"/>
              </w:rPr>
              <w:t>P</w:t>
            </w:r>
          </w:p>
        </w:tc>
        <w:tc>
          <w:tcPr>
            <w:tcW w:type="dxa" w:w="864"/>
            <w:vAlign w:val="top"/>
            <w:shd w:fill="F7F3EA"/>
            <w:tcMar>
              <w:top w:w="60" w:type="dxa"/>
              <w:start w:w="80" w:type="dxa"/>
              <w:bottom w:w="60" w:type="dxa"/>
              <w:end w:w="80" w:type="dxa"/>
            </w:tcMar>
          </w:tcPr>
          <w:p>
            <w:pPr>
              <w:spacing w:after="20"/>
            </w:pPr>
            <w:r>
              <w:rPr>
                <w:sz w:val="15"/>
              </w:rPr>
              <w:t>P</w:t>
            </w:r>
          </w:p>
        </w:tc>
        <w:tc>
          <w:tcPr>
            <w:tcW w:type="dxa" w:w="864"/>
            <w:vAlign w:val="top"/>
            <w:shd w:fill="F7F3EA"/>
            <w:tcMar>
              <w:top w:w="60" w:type="dxa"/>
              <w:start w:w="80" w:type="dxa"/>
              <w:bottom w:w="60" w:type="dxa"/>
              <w:end w:w="80" w:type="dxa"/>
            </w:tcMar>
          </w:tcPr>
          <w:p>
            <w:pPr>
              <w:spacing w:after="20"/>
            </w:pPr>
            <w:r>
              <w:rPr>
                <w:sz w:val="15"/>
              </w:rPr>
              <w:t>P</w:t>
            </w:r>
          </w:p>
        </w:tc>
        <w:tc>
          <w:tcPr>
            <w:tcW w:type="dxa" w:w="1152"/>
            <w:vAlign w:val="top"/>
            <w:shd w:fill="F7F3EA"/>
            <w:tcMar>
              <w:top w:w="60" w:type="dxa"/>
              <w:start w:w="80" w:type="dxa"/>
              <w:bottom w:w="60" w:type="dxa"/>
              <w:end w:w="80" w:type="dxa"/>
            </w:tcMar>
          </w:tcPr>
          <w:p>
            <w:pPr>
              <w:spacing w:after="20"/>
            </w:pPr>
            <w:r>
              <w:rPr>
                <w:sz w:val="15"/>
              </w:rPr>
              <w:t>D</w:t>
            </w:r>
          </w:p>
        </w:tc>
        <w:tc>
          <w:tcPr>
            <w:tcW w:type="dxa" w:w="1152"/>
            <w:vAlign w:val="top"/>
            <w:shd w:fill="F7F3EA"/>
            <w:tcMar>
              <w:top w:w="60" w:type="dxa"/>
              <w:start w:w="80" w:type="dxa"/>
              <w:bottom w:w="60" w:type="dxa"/>
              <w:end w:w="80" w:type="dxa"/>
            </w:tcMar>
          </w:tcPr>
          <w:p>
            <w:pPr>
              <w:spacing w:after="20"/>
            </w:pPr>
            <w:r>
              <w:rPr>
                <w:sz w:val="15"/>
              </w:rPr>
              <w:t>D</w:t>
            </w:r>
          </w:p>
        </w:tc>
      </w:tr>
      <w:tr>
        <w:trPr>
          <w:cantSplit w:val="true"/>
        </w:trPr>
        <w:tc>
          <w:tcPr>
            <w:tcW w:type="dxa" w:w="3888"/>
            <w:vAlign w:val="top"/>
            <w:tcMar>
              <w:top w:w="60" w:type="dxa"/>
              <w:start w:w="80" w:type="dxa"/>
              <w:bottom w:w="60" w:type="dxa"/>
              <w:end w:w="80" w:type="dxa"/>
            </w:tcMar>
          </w:tcPr>
          <w:p>
            <w:pPr>
              <w:spacing w:after="20"/>
            </w:pPr>
            <w:r>
              <w:rPr>
                <w:sz w:val="15"/>
              </w:rPr>
              <w:t>3. Analyze primary sources</w:t>
            </w:r>
          </w:p>
        </w:tc>
        <w:tc>
          <w:tcPr>
            <w:tcW w:type="dxa" w:w="1152"/>
            <w:vAlign w:val="top"/>
            <w:tcMar>
              <w:top w:w="60" w:type="dxa"/>
              <w:start w:w="80" w:type="dxa"/>
              <w:bottom w:w="60" w:type="dxa"/>
              <w:end w:w="80" w:type="dxa"/>
            </w:tcMar>
          </w:tcPr>
          <w:p>
            <w:pPr>
              <w:spacing w:after="20"/>
            </w:pPr>
            <w:r>
              <w:rPr>
                <w:sz w:val="15"/>
              </w:rPr>
              <w:t>I</w:t>
            </w:r>
          </w:p>
        </w:tc>
        <w:tc>
          <w:tcPr>
            <w:tcW w:type="dxa" w:w="864"/>
            <w:vAlign w:val="top"/>
            <w:tcMar>
              <w:top w:w="60" w:type="dxa"/>
              <w:start w:w="80" w:type="dxa"/>
              <w:bottom w:w="60" w:type="dxa"/>
              <w:end w:w="80" w:type="dxa"/>
            </w:tcMar>
          </w:tcPr>
          <w:p>
            <w:pPr>
              <w:spacing w:after="20"/>
            </w:pPr>
            <w:r>
              <w:rPr>
                <w:sz w:val="15"/>
              </w:rPr>
              <w:t>D</w:t>
            </w:r>
          </w:p>
        </w:tc>
        <w:tc>
          <w:tcPr>
            <w:tcW w:type="dxa" w:w="864"/>
            <w:vAlign w:val="top"/>
            <w:tcMar>
              <w:top w:w="60" w:type="dxa"/>
              <w:start w:w="80" w:type="dxa"/>
              <w:bottom w:w="60" w:type="dxa"/>
              <w:end w:w="80" w:type="dxa"/>
            </w:tcMar>
          </w:tcPr>
          <w:p>
            <w:pPr>
              <w:spacing w:after="20"/>
            </w:pPr>
            <w:r>
              <w:rPr>
                <w:sz w:val="15"/>
              </w:rPr>
              <w:t>P</w:t>
            </w:r>
          </w:p>
        </w:tc>
        <w:tc>
          <w:tcPr>
            <w:tcW w:type="dxa" w:w="1152"/>
            <w:vAlign w:val="top"/>
            <w:tcMar>
              <w:top w:w="60" w:type="dxa"/>
              <w:start w:w="80" w:type="dxa"/>
              <w:bottom w:w="60" w:type="dxa"/>
              <w:end w:w="80" w:type="dxa"/>
            </w:tcMar>
          </w:tcPr>
          <w:p>
            <w:pPr>
              <w:spacing w:after="20"/>
            </w:pPr>
            <w:r>
              <w:rPr>
                <w:sz w:val="15"/>
              </w:rPr>
              <w:t>P</w:t>
            </w:r>
          </w:p>
        </w:tc>
        <w:tc>
          <w:tcPr>
            <w:tcW w:type="dxa" w:w="1152"/>
            <w:vAlign w:val="top"/>
            <w:tcMar>
              <w:top w:w="60" w:type="dxa"/>
              <w:start w:w="80" w:type="dxa"/>
              <w:bottom w:w="60" w:type="dxa"/>
              <w:end w:w="80" w:type="dxa"/>
            </w:tcMar>
          </w:tcPr>
          <w:p>
            <w:pPr>
              <w:spacing w:after="20"/>
            </w:pPr>
            <w:r>
              <w:rPr>
                <w:sz w:val="15"/>
              </w:rPr>
              <w:t>D</w:t>
            </w:r>
          </w:p>
        </w:tc>
      </w:tr>
      <w:tr>
        <w:trPr>
          <w:cantSplit w:val="true"/>
        </w:trPr>
        <w:tc>
          <w:tcPr>
            <w:tcW w:type="dxa" w:w="3888"/>
            <w:vAlign w:val="top"/>
            <w:shd w:fill="F7F3EA"/>
            <w:tcMar>
              <w:top w:w="60" w:type="dxa"/>
              <w:start w:w="80" w:type="dxa"/>
              <w:bottom w:w="60" w:type="dxa"/>
              <w:end w:w="80" w:type="dxa"/>
            </w:tcMar>
          </w:tcPr>
          <w:p>
            <w:pPr>
              <w:spacing w:after="20"/>
            </w:pPr>
            <w:r>
              <w:rPr>
                <w:sz w:val="15"/>
              </w:rPr>
              <w:t>4. Engage scholarship/argue</w:t>
            </w:r>
          </w:p>
        </w:tc>
        <w:tc>
          <w:tcPr>
            <w:tcW w:type="dxa" w:w="1152"/>
            <w:vAlign w:val="top"/>
            <w:shd w:fill="F7F3EA"/>
            <w:tcMar>
              <w:top w:w="60" w:type="dxa"/>
              <w:start w:w="80" w:type="dxa"/>
              <w:bottom w:w="60" w:type="dxa"/>
              <w:end w:w="80" w:type="dxa"/>
            </w:tcMar>
          </w:tcPr>
          <w:p>
            <w:pPr>
              <w:spacing w:after="20"/>
            </w:pPr>
            <w:r>
              <w:rPr>
                <w:sz w:val="15"/>
              </w:rPr>
              <w:t>I</w:t>
            </w:r>
          </w:p>
        </w:tc>
        <w:tc>
          <w:tcPr>
            <w:tcW w:type="dxa" w:w="864"/>
            <w:vAlign w:val="top"/>
            <w:shd w:fill="F7F3EA"/>
            <w:tcMar>
              <w:top w:w="60" w:type="dxa"/>
              <w:start w:w="80" w:type="dxa"/>
              <w:bottom w:w="60" w:type="dxa"/>
              <w:end w:w="80" w:type="dxa"/>
            </w:tcMar>
          </w:tcPr>
          <w:p>
            <w:pPr>
              <w:spacing w:after="20"/>
            </w:pPr>
            <w:r>
              <w:rPr>
                <w:sz w:val="15"/>
              </w:rPr>
              <w:t>P</w:t>
            </w:r>
          </w:p>
        </w:tc>
        <w:tc>
          <w:tcPr>
            <w:tcW w:type="dxa" w:w="864"/>
            <w:vAlign w:val="top"/>
            <w:shd w:fill="F7F3EA"/>
            <w:tcMar>
              <w:top w:w="60" w:type="dxa"/>
              <w:start w:w="80" w:type="dxa"/>
              <w:bottom w:w="60" w:type="dxa"/>
              <w:end w:w="80" w:type="dxa"/>
            </w:tcMar>
          </w:tcPr>
          <w:p>
            <w:pPr>
              <w:spacing w:after="20"/>
            </w:pPr>
            <w:r>
              <w:rPr>
                <w:sz w:val="15"/>
              </w:rPr>
              <w:t>P</w:t>
            </w:r>
          </w:p>
        </w:tc>
        <w:tc>
          <w:tcPr>
            <w:tcW w:type="dxa" w:w="1152"/>
            <w:vAlign w:val="top"/>
            <w:shd w:fill="F7F3EA"/>
            <w:tcMar>
              <w:top w:w="60" w:type="dxa"/>
              <w:start w:w="80" w:type="dxa"/>
              <w:bottom w:w="60" w:type="dxa"/>
              <w:end w:w="80" w:type="dxa"/>
            </w:tcMar>
          </w:tcPr>
          <w:p>
            <w:pPr>
              <w:spacing w:after="20"/>
            </w:pPr>
            <w:r>
              <w:rPr>
                <w:sz w:val="15"/>
              </w:rPr>
              <w:t>D</w:t>
            </w:r>
          </w:p>
        </w:tc>
        <w:tc>
          <w:tcPr>
            <w:tcW w:type="dxa" w:w="1152"/>
            <w:vAlign w:val="top"/>
            <w:shd w:fill="F7F3EA"/>
            <w:tcMar>
              <w:top w:w="60" w:type="dxa"/>
              <w:start w:w="80" w:type="dxa"/>
              <w:bottom w:w="60" w:type="dxa"/>
              <w:end w:w="80" w:type="dxa"/>
            </w:tcMar>
          </w:tcPr>
          <w:p>
            <w:pPr>
              <w:spacing w:after="20"/>
            </w:pPr>
            <w:r>
              <w:rPr>
                <w:sz w:val="15"/>
              </w:rPr>
              <w:t>D</w:t>
            </w:r>
          </w:p>
        </w:tc>
      </w:tr>
      <w:tr>
        <w:trPr>
          <w:cantSplit w:val="true"/>
        </w:trPr>
        <w:tc>
          <w:tcPr>
            <w:tcW w:type="dxa" w:w="3888"/>
            <w:vAlign w:val="top"/>
            <w:tcMar>
              <w:top w:w="60" w:type="dxa"/>
              <w:start w:w="80" w:type="dxa"/>
              <w:bottom w:w="60" w:type="dxa"/>
              <w:end w:w="80" w:type="dxa"/>
            </w:tcMar>
          </w:tcPr>
          <w:p>
            <w:pPr>
              <w:spacing w:after="20"/>
            </w:pPr>
            <w:r>
              <w:rPr>
                <w:sz w:val="15"/>
              </w:rPr>
              <w:t>5. Interpret difference/environment</w:t>
            </w:r>
          </w:p>
        </w:tc>
        <w:tc>
          <w:tcPr>
            <w:tcW w:type="dxa" w:w="1152"/>
            <w:vAlign w:val="top"/>
            <w:tcMar>
              <w:top w:w="60" w:type="dxa"/>
              <w:start w:w="80" w:type="dxa"/>
              <w:bottom w:w="60" w:type="dxa"/>
              <w:end w:w="80" w:type="dxa"/>
            </w:tcMar>
          </w:tcPr>
          <w:p>
            <w:pPr>
              <w:spacing w:after="20"/>
            </w:pPr>
            <w:r>
              <w:rPr>
                <w:sz w:val="15"/>
              </w:rPr>
              <w:t>P</w:t>
            </w:r>
          </w:p>
        </w:tc>
        <w:tc>
          <w:tcPr>
            <w:tcW w:type="dxa" w:w="864"/>
            <w:vAlign w:val="top"/>
            <w:tcMar>
              <w:top w:w="60" w:type="dxa"/>
              <w:start w:w="80" w:type="dxa"/>
              <w:bottom w:w="60" w:type="dxa"/>
              <w:end w:w="80" w:type="dxa"/>
            </w:tcMar>
          </w:tcPr>
          <w:p>
            <w:pPr>
              <w:spacing w:after="20"/>
            </w:pPr>
            <w:r>
              <w:rPr>
                <w:sz w:val="15"/>
              </w:rPr>
              <w:t>D</w:t>
            </w:r>
          </w:p>
        </w:tc>
        <w:tc>
          <w:tcPr>
            <w:tcW w:type="dxa" w:w="864"/>
            <w:vAlign w:val="top"/>
            <w:tcMar>
              <w:top w:w="60" w:type="dxa"/>
              <w:start w:w="80" w:type="dxa"/>
              <w:bottom w:w="60" w:type="dxa"/>
              <w:end w:w="80" w:type="dxa"/>
            </w:tcMar>
          </w:tcPr>
          <w:p>
            <w:pPr>
              <w:spacing w:after="20"/>
            </w:pPr>
            <w:r>
              <w:rPr>
                <w:sz w:val="15"/>
              </w:rPr>
              <w:t>P</w:t>
            </w:r>
          </w:p>
        </w:tc>
        <w:tc>
          <w:tcPr>
            <w:tcW w:type="dxa" w:w="1152"/>
            <w:vAlign w:val="top"/>
            <w:tcMar>
              <w:top w:w="60" w:type="dxa"/>
              <w:start w:w="80" w:type="dxa"/>
              <w:bottom w:w="60" w:type="dxa"/>
              <w:end w:w="80" w:type="dxa"/>
            </w:tcMar>
          </w:tcPr>
          <w:p>
            <w:pPr>
              <w:spacing w:after="20"/>
            </w:pPr>
            <w:r>
              <w:rPr>
                <w:sz w:val="15"/>
              </w:rPr>
              <w:t>D</w:t>
            </w:r>
          </w:p>
        </w:tc>
        <w:tc>
          <w:tcPr>
            <w:tcW w:type="dxa" w:w="1152"/>
            <w:vAlign w:val="top"/>
            <w:tcMar>
              <w:top w:w="60" w:type="dxa"/>
              <w:start w:w="80" w:type="dxa"/>
              <w:bottom w:w="60" w:type="dxa"/>
              <w:end w:w="80" w:type="dxa"/>
            </w:tcMar>
          </w:tcPr>
          <w:p>
            <w:pPr>
              <w:spacing w:after="20"/>
            </w:pPr>
            <w:r>
              <w:rPr>
                <w:sz w:val="15"/>
              </w:rPr>
              <w:t>D</w:t>
            </w:r>
          </w:p>
        </w:tc>
      </w:tr>
      <w:tr>
        <w:trPr>
          <w:cantSplit w:val="true"/>
        </w:trPr>
        <w:tc>
          <w:tcPr>
            <w:tcW w:type="dxa" w:w="3888"/>
            <w:vAlign w:val="top"/>
            <w:shd w:fill="F7F3EA"/>
            <w:tcMar>
              <w:top w:w="60" w:type="dxa"/>
              <w:start w:w="80" w:type="dxa"/>
              <w:bottom w:w="60" w:type="dxa"/>
              <w:end w:w="80" w:type="dxa"/>
            </w:tcMar>
          </w:tcPr>
          <w:p>
            <w:pPr>
              <w:spacing w:after="20"/>
            </w:pPr>
            <w:r>
              <w:rPr>
                <w:sz w:val="15"/>
              </w:rPr>
              <w:t>6. Ethical local/public research</w:t>
            </w:r>
          </w:p>
        </w:tc>
        <w:tc>
          <w:tcPr>
            <w:tcW w:type="dxa" w:w="1152"/>
            <w:vAlign w:val="top"/>
            <w:shd w:fill="F7F3EA"/>
            <w:tcMar>
              <w:top w:w="60" w:type="dxa"/>
              <w:start w:w="80" w:type="dxa"/>
              <w:bottom w:w="60" w:type="dxa"/>
              <w:end w:w="80" w:type="dxa"/>
            </w:tcMar>
          </w:tcPr>
          <w:p>
            <w:pPr>
              <w:spacing w:after="20"/>
            </w:pPr>
            <w:r>
              <w:rPr>
                <w:sz w:val="15"/>
              </w:rPr>
              <w:t>I</w:t>
            </w:r>
          </w:p>
        </w:tc>
        <w:tc>
          <w:tcPr>
            <w:tcW w:type="dxa" w:w="864"/>
            <w:vAlign w:val="top"/>
            <w:shd w:fill="F7F3EA"/>
            <w:tcMar>
              <w:top w:w="60" w:type="dxa"/>
              <w:start w:w="80" w:type="dxa"/>
              <w:bottom w:w="60" w:type="dxa"/>
              <w:end w:w="80" w:type="dxa"/>
            </w:tcMar>
          </w:tcPr>
          <w:p>
            <w:pPr>
              <w:spacing w:after="20"/>
            </w:pPr>
            <w:r>
              <w:rPr>
                <w:sz w:val="15"/>
              </w:rPr>
              <w:t>P</w:t>
            </w:r>
          </w:p>
        </w:tc>
        <w:tc>
          <w:tcPr>
            <w:tcW w:type="dxa" w:w="864"/>
            <w:vAlign w:val="top"/>
            <w:shd w:fill="F7F3EA"/>
            <w:tcMar>
              <w:top w:w="60" w:type="dxa"/>
              <w:start w:w="80" w:type="dxa"/>
              <w:bottom w:w="60" w:type="dxa"/>
              <w:end w:w="80" w:type="dxa"/>
            </w:tcMar>
          </w:tcPr>
          <w:p>
            <w:pPr>
              <w:spacing w:after="20"/>
            </w:pPr>
            <w:r>
              <w:rPr>
                <w:sz w:val="15"/>
              </w:rPr>
              <w:t>I</w:t>
            </w:r>
          </w:p>
        </w:tc>
        <w:tc>
          <w:tcPr>
            <w:tcW w:type="dxa" w:w="1152"/>
            <w:vAlign w:val="top"/>
            <w:shd w:fill="F7F3EA"/>
            <w:tcMar>
              <w:top w:w="60" w:type="dxa"/>
              <w:start w:w="80" w:type="dxa"/>
              <w:bottom w:w="60" w:type="dxa"/>
              <w:end w:w="80" w:type="dxa"/>
            </w:tcMar>
          </w:tcPr>
          <w:p>
            <w:pPr>
              <w:spacing w:after="20"/>
            </w:pPr>
            <w:r>
              <w:rPr>
                <w:sz w:val="15"/>
              </w:rPr>
              <w:t>P</w:t>
            </w:r>
          </w:p>
        </w:tc>
        <w:tc>
          <w:tcPr>
            <w:tcW w:type="dxa" w:w="1152"/>
            <w:vAlign w:val="top"/>
            <w:shd w:fill="F7F3EA"/>
            <w:tcMar>
              <w:top w:w="60" w:type="dxa"/>
              <w:start w:w="80" w:type="dxa"/>
              <w:bottom w:w="60" w:type="dxa"/>
              <w:end w:w="80" w:type="dxa"/>
            </w:tcMar>
          </w:tcPr>
          <w:p>
            <w:pPr>
              <w:spacing w:after="20"/>
            </w:pPr>
            <w:r>
              <w:rPr>
                <w:sz w:val="15"/>
              </w:rPr>
              <w:t>D</w:t>
            </w:r>
          </w:p>
        </w:tc>
      </w:tr>
      <w:tr>
        <w:trPr>
          <w:cantSplit w:val="true"/>
        </w:trPr>
        <w:tc>
          <w:tcPr>
            <w:tcW w:type="dxa" w:w="3888"/>
            <w:vAlign w:val="top"/>
            <w:tcMar>
              <w:top w:w="60" w:type="dxa"/>
              <w:start w:w="80" w:type="dxa"/>
              <w:bottom w:w="60" w:type="dxa"/>
              <w:end w:w="80" w:type="dxa"/>
            </w:tcMar>
          </w:tcPr>
          <w:p>
            <w:pPr>
              <w:spacing w:after="20"/>
            </w:pPr>
            <w:r>
              <w:rPr>
                <w:sz w:val="15"/>
              </w:rPr>
              <w:t>7. Communicate to audiences</w:t>
            </w:r>
          </w:p>
        </w:tc>
        <w:tc>
          <w:tcPr>
            <w:tcW w:type="dxa" w:w="1152"/>
            <w:vAlign w:val="top"/>
            <w:tcMar>
              <w:top w:w="60" w:type="dxa"/>
              <w:start w:w="80" w:type="dxa"/>
              <w:bottom w:w="60" w:type="dxa"/>
              <w:end w:w="80" w:type="dxa"/>
            </w:tcMar>
          </w:tcPr>
          <w:p>
            <w:pPr>
              <w:spacing w:after="20"/>
            </w:pPr>
            <w:r>
              <w:rPr>
                <w:sz w:val="15"/>
              </w:rPr>
              <w:t>I</w:t>
            </w:r>
          </w:p>
        </w:tc>
        <w:tc>
          <w:tcPr>
            <w:tcW w:type="dxa" w:w="864"/>
            <w:vAlign w:val="top"/>
            <w:tcMar>
              <w:top w:w="60" w:type="dxa"/>
              <w:start w:w="80" w:type="dxa"/>
              <w:bottom w:w="60" w:type="dxa"/>
              <w:end w:w="80" w:type="dxa"/>
            </w:tcMar>
          </w:tcPr>
          <w:p>
            <w:pPr>
              <w:spacing w:after="20"/>
            </w:pPr>
            <w:r>
              <w:rPr>
                <w:sz w:val="15"/>
              </w:rPr>
              <w:t>P</w:t>
            </w:r>
          </w:p>
        </w:tc>
        <w:tc>
          <w:tcPr>
            <w:tcW w:type="dxa" w:w="864"/>
            <w:vAlign w:val="top"/>
            <w:tcMar>
              <w:top w:w="60" w:type="dxa"/>
              <w:start w:w="80" w:type="dxa"/>
              <w:bottom w:w="60" w:type="dxa"/>
              <w:end w:w="80" w:type="dxa"/>
            </w:tcMar>
          </w:tcPr>
          <w:p>
            <w:pPr>
              <w:spacing w:after="20"/>
            </w:pPr>
            <w:r>
              <w:rPr>
                <w:sz w:val="15"/>
              </w:rPr>
              <w:t>P</w:t>
            </w:r>
          </w:p>
        </w:tc>
        <w:tc>
          <w:tcPr>
            <w:tcW w:type="dxa" w:w="1152"/>
            <w:vAlign w:val="top"/>
            <w:tcMar>
              <w:top w:w="60" w:type="dxa"/>
              <w:start w:w="80" w:type="dxa"/>
              <w:bottom w:w="60" w:type="dxa"/>
              <w:end w:w="80" w:type="dxa"/>
            </w:tcMar>
          </w:tcPr>
          <w:p>
            <w:pPr>
              <w:spacing w:after="20"/>
            </w:pPr>
            <w:r>
              <w:rPr>
                <w:sz w:val="15"/>
              </w:rPr>
              <w:t>D</w:t>
            </w:r>
          </w:p>
        </w:tc>
        <w:tc>
          <w:tcPr>
            <w:tcW w:type="dxa" w:w="1152"/>
            <w:vAlign w:val="top"/>
            <w:tcMar>
              <w:top w:w="60" w:type="dxa"/>
              <w:start w:w="80" w:type="dxa"/>
              <w:bottom w:w="60" w:type="dxa"/>
              <w:end w:w="80" w:type="dxa"/>
            </w:tcMar>
          </w:tcPr>
          <w:p>
            <w:pPr>
              <w:spacing w:after="20"/>
            </w:pPr>
            <w:r>
              <w:rPr>
                <w:sz w:val="15"/>
              </w:rPr>
              <w:t>D</w:t>
            </w:r>
          </w:p>
        </w:tc>
      </w:tr>
    </w:tbl>
    <w:p>
      <w:pPr>
        <w:spacing w:after="20"/>
      </w:pPr>
    </w:p>
    <w:p>
      <w:pPr>
        <w:pStyle w:val="Caption"/>
      </w:pPr>
      <w:r>
        <w:t>I = introduced; P = practiced; D = demonstrated.</w:t>
      </w:r>
    </w:p>
    <w:p>
      <w:pPr>
        <w:pStyle w:val="Heading1"/>
      </w:pPr>
      <w:r>
        <w:t>3. Before You Publish in Canvas</w:t>
      </w:r>
    </w:p>
    <w:tbl>
      <w:tblPr>
        <w:tblStyle w:val="TableGrid"/>
        <w:tblW w:type="auto" w:w="0"/>
        <w:tblLook w:firstColumn="1" w:firstRow="1" w:lastColumn="0" w:lastRow="0" w:noHBand="0" w:noVBand="1" w:val="04A0"/>
      </w:tblPr>
      <w:tblGrid>
        <w:gridCol w:w="10166"/>
      </w:tblGrid>
      <w:tr>
        <w:trPr>
          <w:cantSplit/>
          <w:tblHeader/>
        </w:trPr>
        <w:tc>
          <w:tcPr>
            <w:tcW w:type="dxa" w:w="10166"/>
            <w:shd w:fill="F7F3EA"/>
            <w:tcMar>
              <w:top w:w="110" w:type="dxa"/>
              <w:start w:w="140" w:type="dxa"/>
              <w:bottom w:w="110" w:type="dxa"/>
              <w:end w:w="140" w:type="dxa"/>
            </w:tcMar>
          </w:tcPr>
          <w:p>
            <w:r>
              <w:rPr>
                <w:b/>
                <w:color w:val="A04E32"/>
              </w:rPr>
              <w:t>Package status</w:t>
              <w:br/>
            </w:r>
            <w:r>
              <w:t>The .imscc package is structurally validated but has not been imported into Northwest Missouri State University’s Canvas instance. Import into a sandbox, review every item, then publish.</w:t>
            </w:r>
          </w:p>
        </w:tc>
      </w:tr>
    </w:tbl>
    <w:p>
      <w:pPr>
        <w:spacing w:after="20"/>
      </w:pPr>
    </w:p>
    <w:p>
      <w:pPr>
        <w:keepLines/>
        <w:spacing w:after="30"/>
        <w:ind w:left="317" w:hanging="230"/>
      </w:pPr>
      <w:r>
        <w:rPr>
          <w:b/>
        </w:rPr>
        <w:t xml:space="preserve">• </w:t>
      </w:r>
      <w:r>
        <w:t>Confirm the exact meeting time/room. Instructor contact is Rob Voss, robvoss@nwmissouri.edu, Valk 120; office hours Monday, Wednesday, and Friday, 8:30–11:00 a.m..</w:t>
      </w:r>
    </w:p>
    <w:p>
      <w:pPr>
        <w:keepLines/>
        <w:spacing w:after="30"/>
        <w:ind w:left="317" w:hanging="230"/>
      </w:pPr>
      <w:r>
        <w:rPr>
          <w:b/>
        </w:rPr>
        <w:t xml:space="preserve">• </w:t>
      </w:r>
      <w:r>
        <w:t>Confirm the Fall 2026 dates against the Registrar immediately before publication.</w:t>
      </w:r>
    </w:p>
    <w:p>
      <w:pPr>
        <w:keepLines/>
        <w:spacing w:after="30"/>
        <w:ind w:left="317" w:hanging="230"/>
      </w:pPr>
      <w:r>
        <w:rPr>
          <w:b/>
        </w:rPr>
        <w:t xml:space="preserve">• </w:t>
      </w:r>
      <w:r>
        <w:t>Confirm current institutional links and department-required statements before publication; the instructor-provided attendance and deadline policies are already included.</w:t>
      </w:r>
    </w:p>
    <w:p>
      <w:pPr>
        <w:keepLines/>
        <w:spacing w:after="30"/>
        <w:ind w:left="317" w:hanging="230"/>
      </w:pPr>
      <w:r>
        <w:rPr>
          <w:b/>
        </w:rPr>
        <w:t xml:space="preserve">• </w:t>
      </w:r>
      <w:r>
        <w:t>Verify every external link and reserve reading immediately before the course begins.</w:t>
      </w:r>
    </w:p>
    <w:p>
      <w:pPr>
        <w:keepLines/>
        <w:spacing w:after="30"/>
        <w:ind w:left="317" w:hanging="230"/>
      </w:pPr>
      <w:r>
        <w:rPr>
          <w:b/>
        </w:rPr>
        <w:t xml:space="preserve">• </w:t>
      </w:r>
      <w:r>
        <w:t>Confirm copyright, licensing, cultural protocols, privacy, captions, transcripts, and image descriptions.</w:t>
      </w:r>
    </w:p>
    <w:p>
      <w:pPr>
        <w:keepLines/>
        <w:spacing w:after="30"/>
        <w:ind w:left="317" w:hanging="230"/>
      </w:pPr>
      <w:r>
        <w:rPr>
          <w:b/>
        </w:rPr>
        <w:t xml:space="preserve">• </w:t>
      </w:r>
      <w:r>
        <w:t>Review quiz settings and decide whether to keep Classic Quizzes or migrate to New Quizzes.</w:t>
      </w:r>
    </w:p>
    <w:p>
      <w:pPr>
        <w:keepLines/>
        <w:spacing w:after="30"/>
        <w:ind w:left="317" w:hanging="230"/>
      </w:pPr>
      <w:r>
        <w:rPr>
          <w:b/>
        </w:rPr>
        <w:t xml:space="preserve">• </w:t>
      </w:r>
      <w:r>
        <w:t>Attach Canvas rubrics manually if your import does not retain rubric structures; scoring guides follow below.</w:t>
      </w:r>
    </w:p>
    <w:p>
      <w:pPr>
        <w:keepLines/>
        <w:spacing w:after="30"/>
        <w:ind w:left="317" w:hanging="230"/>
      </w:pPr>
      <w:r>
        <w:rPr>
          <w:b/>
        </w:rPr>
        <w:t xml:space="preserve">• </w:t>
      </w:r>
      <w:r>
        <w:t>Preview the course with Student View and run Canvas’s Accessibility Checker.</w:t>
      </w:r>
    </w:p>
    <w:p>
      <w:pPr>
        <w:keepLines/>
        <w:spacing w:after="30"/>
        <w:ind w:left="317" w:hanging="230"/>
      </w:pPr>
      <w:r>
        <w:rPr>
          <w:b/>
        </w:rPr>
        <w:t xml:space="preserve">• </w:t>
      </w:r>
      <w:r>
        <w:t>Keep modules unpublished until the sequence and dates are correct.</w:t>
      </w:r>
    </w:p>
    <w:p>
      <w:pPr>
        <w:pStyle w:val="Heading2"/>
      </w:pPr>
      <w:r>
        <w:t>Canvas import sequence</w:t>
      </w:r>
    </w:p>
    <w:p>
      <w:pPr>
        <w:keepLines/>
        <w:spacing w:after="30"/>
        <w:ind w:left="317" w:hanging="230"/>
      </w:pPr>
      <w:r>
        <w:rPr>
          <w:b/>
        </w:rPr>
        <w:t xml:space="preserve">• </w:t>
      </w:r>
      <w:r>
        <w:t>Settings → Import Course Content → Canvas Course Export Package.</w:t>
      </w:r>
    </w:p>
    <w:p>
      <w:pPr>
        <w:keepLines/>
        <w:spacing w:after="30"/>
        <w:ind w:left="317" w:hanging="230"/>
      </w:pPr>
      <w:r>
        <w:rPr>
          <w:b/>
        </w:rPr>
        <w:t xml:space="preserve">• </w:t>
      </w:r>
      <w:r>
        <w:t>Choose American_West_33-582_Fall_2026.imscc and select All Content.</w:t>
      </w:r>
    </w:p>
    <w:p>
      <w:pPr>
        <w:keepLines/>
        <w:spacing w:after="30"/>
        <w:ind w:left="317" w:hanging="230"/>
      </w:pPr>
      <w:r>
        <w:rPr>
          <w:b/>
        </w:rPr>
        <w:t xml:space="preserve">• </w:t>
      </w:r>
      <w:r>
        <w:t>Import the built-in Fall 2026 dates as-is during the first sandbox test.</w:t>
      </w:r>
    </w:p>
    <w:p>
      <w:pPr>
        <w:keepLines/>
        <w:spacing w:after="30"/>
        <w:ind w:left="317" w:hanging="230"/>
      </w:pPr>
      <w:r>
        <w:rPr>
          <w:b/>
        </w:rPr>
        <w:t xml:space="preserve">• </w:t>
      </w:r>
      <w:r>
        <w:t>After completion, inspect Modules, Assignments, Quizzes, Pages, assignment groups, and total weighting.</w:t>
      </w:r>
    </w:p>
    <w:p>
      <w:pPr>
        <w:keepLines/>
        <w:spacing w:after="30"/>
        <w:ind w:left="317" w:hanging="230"/>
      </w:pPr>
      <w:r>
        <w:rPr>
          <w:b/>
        </w:rPr>
        <w:t xml:space="preserve">• </w:t>
      </w:r>
      <w:r>
        <w:t>If prompted and locally supported, choose whether to convert Classic Quizzes to New Quizzes.</w:t>
      </w:r>
    </w:p>
    <w:p>
      <w:pPr>
        <w:pStyle w:val="Caption"/>
      </w:pPr>
      <w:r>
        <w:t>Importing the same package into the same shell more than once can create duplicates or overwrite content. Use a clean sandbox for testing.</w:t>
      </w:r>
    </w:p>
    <w:p>
      <w:pPr>
        <w:pStyle w:val="Heading1"/>
      </w:pPr>
      <w:r>
        <w:t>4. Facilitation Pattern</w:t>
      </w:r>
    </w:p>
    <w:p>
      <w:r>
        <w:t>The package assumes two 75-minute in-person meetings each week. Each meeting combines concise context, primary-source reasoning, claim testing, and visible reflection or production.</w:t>
      </w:r>
    </w:p>
    <w:tbl>
      <w:tblPr>
        <w:tblStyle w:val="TableGrid"/>
        <w:tblW w:type="auto" w:w="0"/>
        <w:jc w:val="center"/>
        <w:tblLook w:firstColumn="1" w:firstRow="1" w:lastColumn="0" w:lastRow="0" w:noHBand="0" w:noVBand="1" w:val="04A0"/>
      </w:tblPr>
      <w:tblGrid>
        <w:gridCol w:w="2541"/>
        <w:gridCol w:w="2541"/>
        <w:gridCol w:w="2541"/>
        <w:gridCol w:w="2541"/>
      </w:tblGrid>
      <w:tr>
        <w:trPr>
          <w:tblHeader w:val="true"/>
          <w:cantSplit w:val="true"/>
        </w:trPr>
        <w:tc>
          <w:tcPr>
            <w:tcW w:type="dxa" w:w="1296"/>
            <w:shd w:fill="24364B"/>
            <w:vAlign w:val="center"/>
            <w:tcMar>
              <w:top w:w="60" w:type="dxa"/>
              <w:start w:w="80" w:type="dxa"/>
              <w:bottom w:w="60" w:type="dxa"/>
              <w:end w:w="80" w:type="dxa"/>
            </w:tcMar>
          </w:tcPr>
          <w:p>
            <w:r>
              <w:rPr>
                <w:b/>
                <w:color w:val="FFFFFF"/>
                <w:sz w:val="17"/>
              </w:rPr>
              <w:t>Phase</w:t>
            </w:r>
          </w:p>
        </w:tc>
        <w:tc>
          <w:tcPr>
            <w:tcW w:type="dxa" w:w="1296"/>
            <w:shd w:fill="24364B"/>
            <w:vAlign w:val="center"/>
            <w:tcMar>
              <w:top w:w="60" w:type="dxa"/>
              <w:start w:w="80" w:type="dxa"/>
              <w:bottom w:w="60" w:type="dxa"/>
              <w:end w:w="80" w:type="dxa"/>
            </w:tcMar>
          </w:tcPr>
          <w:p>
            <w:r>
              <w:rPr>
                <w:b/>
                <w:color w:val="FFFFFF"/>
                <w:sz w:val="17"/>
              </w:rPr>
              <w:t>Typical time</w:t>
            </w:r>
          </w:p>
        </w:tc>
        <w:tc>
          <w:tcPr>
            <w:tcW w:type="dxa" w:w="4464"/>
            <w:shd w:fill="24364B"/>
            <w:vAlign w:val="center"/>
            <w:tcMar>
              <w:top w:w="60" w:type="dxa"/>
              <w:start w:w="80" w:type="dxa"/>
              <w:bottom w:w="60" w:type="dxa"/>
              <w:end w:w="80" w:type="dxa"/>
            </w:tcMar>
          </w:tcPr>
          <w:p>
            <w:r>
              <w:rPr>
                <w:b/>
                <w:color w:val="FFFFFF"/>
                <w:sz w:val="17"/>
              </w:rPr>
              <w:t>Instructor move</w:t>
            </w:r>
          </w:p>
        </w:tc>
        <w:tc>
          <w:tcPr>
            <w:tcW w:type="dxa" w:w="3600"/>
            <w:shd w:fill="24364B"/>
            <w:vAlign w:val="center"/>
            <w:tcMar>
              <w:top w:w="60" w:type="dxa"/>
              <w:start w:w="80" w:type="dxa"/>
              <w:bottom w:w="60" w:type="dxa"/>
              <w:end w:w="80" w:type="dxa"/>
            </w:tcMar>
          </w:tcPr>
          <w:p>
            <w:r>
              <w:rPr>
                <w:b/>
                <w:color w:val="FFFFFF"/>
                <w:sz w:val="17"/>
              </w:rPr>
              <w:t>Student evidence</w:t>
            </w:r>
          </w:p>
        </w:tc>
      </w:tr>
      <w:tr>
        <w:trPr>
          <w:cantSplit w:val="true"/>
        </w:trPr>
        <w:tc>
          <w:tcPr>
            <w:tcW w:type="dxa" w:w="1296"/>
            <w:vAlign w:val="top"/>
            <w:tcMar>
              <w:top w:w="60" w:type="dxa"/>
              <w:start w:w="80" w:type="dxa"/>
              <w:bottom w:w="60" w:type="dxa"/>
              <w:end w:w="80" w:type="dxa"/>
            </w:tcMar>
          </w:tcPr>
          <w:p>
            <w:pPr>
              <w:spacing w:after="20"/>
            </w:pPr>
            <w:r>
              <w:rPr>
                <w:sz w:val="17"/>
              </w:rPr>
              <w:t>Frame</w:t>
            </w:r>
          </w:p>
        </w:tc>
        <w:tc>
          <w:tcPr>
            <w:tcW w:type="dxa" w:w="1296"/>
            <w:vAlign w:val="top"/>
            <w:tcMar>
              <w:top w:w="60" w:type="dxa"/>
              <w:start w:w="80" w:type="dxa"/>
              <w:bottom w:w="60" w:type="dxa"/>
              <w:end w:w="80" w:type="dxa"/>
            </w:tcMar>
          </w:tcPr>
          <w:p>
            <w:pPr>
              <w:spacing w:after="20"/>
            </w:pPr>
            <w:r>
              <w:rPr>
                <w:sz w:val="17"/>
              </w:rPr>
              <w:t>5–8 min</w:t>
            </w:r>
          </w:p>
        </w:tc>
        <w:tc>
          <w:tcPr>
            <w:tcW w:type="dxa" w:w="4464"/>
            <w:vAlign w:val="top"/>
            <w:tcMar>
              <w:top w:w="60" w:type="dxa"/>
              <w:start w:w="80" w:type="dxa"/>
              <w:bottom w:w="60" w:type="dxa"/>
              <w:end w:w="80" w:type="dxa"/>
            </w:tcMar>
          </w:tcPr>
          <w:p>
            <w:pPr>
              <w:spacing w:after="20"/>
            </w:pPr>
            <w:r>
              <w:rPr>
                <w:sz w:val="17"/>
              </w:rPr>
              <w:t>Present a contradiction, map, object, or claim</w:t>
            </w:r>
          </w:p>
        </w:tc>
        <w:tc>
          <w:tcPr>
            <w:tcW w:type="dxa" w:w="3600"/>
            <w:vAlign w:val="top"/>
            <w:tcMar>
              <w:top w:w="60" w:type="dxa"/>
              <w:start w:w="80" w:type="dxa"/>
              <w:bottom w:w="60" w:type="dxa"/>
              <w:end w:w="80" w:type="dxa"/>
            </w:tcMar>
          </w:tcPr>
          <w:p>
            <w:pPr>
              <w:spacing w:after="20"/>
            </w:pPr>
            <w:r>
              <w:rPr>
                <w:sz w:val="17"/>
              </w:rPr>
              <w:t>Initial explanation/question</w:t>
            </w:r>
          </w:p>
        </w:tc>
      </w:tr>
      <w:tr>
        <w:trPr>
          <w:cantSplit w:val="true"/>
        </w:trPr>
        <w:tc>
          <w:tcPr>
            <w:tcW w:type="dxa" w:w="1296"/>
            <w:vAlign w:val="top"/>
            <w:shd w:fill="F7F3EA"/>
            <w:tcMar>
              <w:top w:w="60" w:type="dxa"/>
              <w:start w:w="80" w:type="dxa"/>
              <w:bottom w:w="60" w:type="dxa"/>
              <w:end w:w="80" w:type="dxa"/>
            </w:tcMar>
          </w:tcPr>
          <w:p>
            <w:pPr>
              <w:spacing w:after="20"/>
            </w:pPr>
            <w:r>
              <w:rPr>
                <w:sz w:val="17"/>
              </w:rPr>
              <w:t>Context</w:t>
            </w:r>
          </w:p>
        </w:tc>
        <w:tc>
          <w:tcPr>
            <w:tcW w:type="dxa" w:w="1296"/>
            <w:vAlign w:val="top"/>
            <w:shd w:fill="F7F3EA"/>
            <w:tcMar>
              <w:top w:w="60" w:type="dxa"/>
              <w:start w:w="80" w:type="dxa"/>
              <w:bottom w:w="60" w:type="dxa"/>
              <w:end w:w="80" w:type="dxa"/>
            </w:tcMar>
          </w:tcPr>
          <w:p>
            <w:pPr>
              <w:spacing w:after="20"/>
            </w:pPr>
            <w:r>
              <w:rPr>
                <w:sz w:val="17"/>
              </w:rPr>
              <w:t>15–20 min</w:t>
            </w:r>
          </w:p>
        </w:tc>
        <w:tc>
          <w:tcPr>
            <w:tcW w:type="dxa" w:w="4464"/>
            <w:vAlign w:val="top"/>
            <w:shd w:fill="F7F3EA"/>
            <w:tcMar>
              <w:top w:w="60" w:type="dxa"/>
              <w:start w:w="80" w:type="dxa"/>
              <w:bottom w:w="60" w:type="dxa"/>
              <w:end w:w="80" w:type="dxa"/>
            </w:tcMar>
          </w:tcPr>
          <w:p>
            <w:pPr>
              <w:spacing w:after="20"/>
            </w:pPr>
            <w:r>
              <w:rPr>
                <w:sz w:val="17"/>
              </w:rPr>
              <w:t>Concise lecture with visible causal or spatial structure</w:t>
            </w:r>
          </w:p>
        </w:tc>
        <w:tc>
          <w:tcPr>
            <w:tcW w:type="dxa" w:w="3600"/>
            <w:vAlign w:val="top"/>
            <w:shd w:fill="F7F3EA"/>
            <w:tcMar>
              <w:top w:w="60" w:type="dxa"/>
              <w:start w:w="80" w:type="dxa"/>
              <w:bottom w:w="60" w:type="dxa"/>
              <w:end w:w="80" w:type="dxa"/>
            </w:tcMar>
          </w:tcPr>
          <w:p>
            <w:pPr>
              <w:spacing w:after="20"/>
            </w:pPr>
            <w:r>
              <w:rPr>
                <w:sz w:val="17"/>
              </w:rPr>
              <w:t>Timeline/map notes</w:t>
            </w:r>
          </w:p>
        </w:tc>
      </w:tr>
      <w:tr>
        <w:trPr>
          <w:cantSplit w:val="true"/>
        </w:trPr>
        <w:tc>
          <w:tcPr>
            <w:tcW w:type="dxa" w:w="1296"/>
            <w:vAlign w:val="top"/>
            <w:tcMar>
              <w:top w:w="60" w:type="dxa"/>
              <w:start w:w="80" w:type="dxa"/>
              <w:bottom w:w="60" w:type="dxa"/>
              <w:end w:w="80" w:type="dxa"/>
            </w:tcMar>
          </w:tcPr>
          <w:p>
            <w:pPr>
              <w:spacing w:after="20"/>
            </w:pPr>
            <w:r>
              <w:rPr>
                <w:sz w:val="17"/>
              </w:rPr>
              <w:t>Investigate</w:t>
            </w:r>
          </w:p>
        </w:tc>
        <w:tc>
          <w:tcPr>
            <w:tcW w:type="dxa" w:w="1296"/>
            <w:vAlign w:val="top"/>
            <w:tcMar>
              <w:top w:w="60" w:type="dxa"/>
              <w:start w:w="80" w:type="dxa"/>
              <w:bottom w:w="60" w:type="dxa"/>
              <w:end w:w="80" w:type="dxa"/>
            </w:tcMar>
          </w:tcPr>
          <w:p>
            <w:pPr>
              <w:spacing w:after="20"/>
            </w:pPr>
            <w:r>
              <w:rPr>
                <w:sz w:val="17"/>
              </w:rPr>
              <w:t>25–30 min</w:t>
            </w:r>
          </w:p>
        </w:tc>
        <w:tc>
          <w:tcPr>
            <w:tcW w:type="dxa" w:w="4464"/>
            <w:vAlign w:val="top"/>
            <w:tcMar>
              <w:top w:w="60" w:type="dxa"/>
              <w:start w:w="80" w:type="dxa"/>
              <w:bottom w:w="60" w:type="dxa"/>
              <w:end w:w="80" w:type="dxa"/>
            </w:tcMar>
          </w:tcPr>
          <w:p>
            <w:pPr>
              <w:spacing w:after="20"/>
            </w:pPr>
            <w:r>
              <w:rPr>
                <w:sz w:val="17"/>
              </w:rPr>
              <w:t>Source stations or guided document lab</w:t>
            </w:r>
          </w:p>
        </w:tc>
        <w:tc>
          <w:tcPr>
            <w:tcW w:type="dxa" w:w="3600"/>
            <w:vAlign w:val="top"/>
            <w:tcMar>
              <w:top w:w="60" w:type="dxa"/>
              <w:start w:w="80" w:type="dxa"/>
              <w:bottom w:w="60" w:type="dxa"/>
              <w:end w:w="80" w:type="dxa"/>
            </w:tcMar>
          </w:tcPr>
          <w:p>
            <w:pPr>
              <w:spacing w:after="20"/>
            </w:pPr>
            <w:r>
              <w:rPr>
                <w:sz w:val="17"/>
              </w:rPr>
              <w:t>Sourcing/corroboration notes</w:t>
            </w:r>
          </w:p>
        </w:tc>
      </w:tr>
      <w:tr>
        <w:trPr>
          <w:cantSplit w:val="true"/>
        </w:trPr>
        <w:tc>
          <w:tcPr>
            <w:tcW w:type="dxa" w:w="1296"/>
            <w:vAlign w:val="top"/>
            <w:shd w:fill="F7F3EA"/>
            <w:tcMar>
              <w:top w:w="60" w:type="dxa"/>
              <w:start w:w="80" w:type="dxa"/>
              <w:bottom w:w="60" w:type="dxa"/>
              <w:end w:w="80" w:type="dxa"/>
            </w:tcMar>
          </w:tcPr>
          <w:p>
            <w:pPr>
              <w:spacing w:after="20"/>
            </w:pPr>
            <w:r>
              <w:rPr>
                <w:sz w:val="17"/>
              </w:rPr>
              <w:t>Test</w:t>
            </w:r>
          </w:p>
        </w:tc>
        <w:tc>
          <w:tcPr>
            <w:tcW w:type="dxa" w:w="1296"/>
            <w:vAlign w:val="top"/>
            <w:shd w:fill="F7F3EA"/>
            <w:tcMar>
              <w:top w:w="60" w:type="dxa"/>
              <w:start w:w="80" w:type="dxa"/>
              <w:bottom w:w="60" w:type="dxa"/>
              <w:end w:w="80" w:type="dxa"/>
            </w:tcMar>
          </w:tcPr>
          <w:p>
            <w:pPr>
              <w:spacing w:after="20"/>
            </w:pPr>
            <w:r>
              <w:rPr>
                <w:sz w:val="17"/>
              </w:rPr>
              <w:t>12–15 min</w:t>
            </w:r>
          </w:p>
        </w:tc>
        <w:tc>
          <w:tcPr>
            <w:tcW w:type="dxa" w:w="4464"/>
            <w:vAlign w:val="top"/>
            <w:shd w:fill="F7F3EA"/>
            <w:tcMar>
              <w:top w:w="60" w:type="dxa"/>
              <w:start w:w="80" w:type="dxa"/>
              <w:bottom w:w="60" w:type="dxa"/>
              <w:end w:w="80" w:type="dxa"/>
            </w:tcMar>
          </w:tcPr>
          <w:p>
            <w:pPr>
              <w:spacing w:after="20"/>
            </w:pPr>
            <w:r>
              <w:rPr>
                <w:sz w:val="17"/>
              </w:rPr>
              <w:t>Structured controversy, comparison, or causal model</w:t>
            </w:r>
          </w:p>
        </w:tc>
        <w:tc>
          <w:tcPr>
            <w:tcW w:type="dxa" w:w="3600"/>
            <w:vAlign w:val="top"/>
            <w:shd w:fill="F7F3EA"/>
            <w:tcMar>
              <w:top w:w="60" w:type="dxa"/>
              <w:start w:w="80" w:type="dxa"/>
              <w:bottom w:w="60" w:type="dxa"/>
              <w:end w:w="80" w:type="dxa"/>
            </w:tcMar>
          </w:tcPr>
          <w:p>
            <w:pPr>
              <w:spacing w:after="20"/>
            </w:pPr>
            <w:r>
              <w:rPr>
                <w:sz w:val="17"/>
              </w:rPr>
              <w:t>Revised claim</w:t>
            </w:r>
          </w:p>
        </w:tc>
      </w:tr>
      <w:tr>
        <w:trPr>
          <w:cantSplit w:val="true"/>
        </w:trPr>
        <w:tc>
          <w:tcPr>
            <w:tcW w:type="dxa" w:w="1296"/>
            <w:vAlign w:val="top"/>
            <w:tcMar>
              <w:top w:w="60" w:type="dxa"/>
              <w:start w:w="80" w:type="dxa"/>
              <w:bottom w:w="60" w:type="dxa"/>
              <w:end w:w="80" w:type="dxa"/>
            </w:tcMar>
          </w:tcPr>
          <w:p>
            <w:pPr>
              <w:spacing w:after="20"/>
            </w:pPr>
            <w:r>
              <w:rPr>
                <w:sz w:val="17"/>
              </w:rPr>
              <w:t>Reflect/produce</w:t>
            </w:r>
          </w:p>
        </w:tc>
        <w:tc>
          <w:tcPr>
            <w:tcW w:type="dxa" w:w="1296"/>
            <w:vAlign w:val="top"/>
            <w:tcMar>
              <w:top w:w="60" w:type="dxa"/>
              <w:start w:w="80" w:type="dxa"/>
              <w:bottom w:w="60" w:type="dxa"/>
              <w:end w:w="80" w:type="dxa"/>
            </w:tcMar>
          </w:tcPr>
          <w:p>
            <w:pPr>
              <w:spacing w:after="20"/>
            </w:pPr>
            <w:r>
              <w:rPr>
                <w:sz w:val="17"/>
              </w:rPr>
              <w:t>5–8 min</w:t>
            </w:r>
          </w:p>
        </w:tc>
        <w:tc>
          <w:tcPr>
            <w:tcW w:type="dxa" w:w="4464"/>
            <w:vAlign w:val="top"/>
            <w:tcMar>
              <w:top w:w="60" w:type="dxa"/>
              <w:start w:w="80" w:type="dxa"/>
              <w:bottom w:w="60" w:type="dxa"/>
              <w:end w:w="80" w:type="dxa"/>
            </w:tcMar>
          </w:tcPr>
          <w:p>
            <w:pPr>
              <w:spacing w:after="20"/>
            </w:pPr>
            <w:r>
              <w:rPr>
                <w:sz w:val="17"/>
              </w:rPr>
              <w:t>Exit prompt tied to outcome</w:t>
            </w:r>
          </w:p>
        </w:tc>
        <w:tc>
          <w:tcPr>
            <w:tcW w:type="dxa" w:w="3600"/>
            <w:vAlign w:val="top"/>
            <w:tcMar>
              <w:top w:w="60" w:type="dxa"/>
              <w:start w:w="80" w:type="dxa"/>
              <w:bottom w:w="60" w:type="dxa"/>
              <w:end w:w="80" w:type="dxa"/>
            </w:tcMar>
          </w:tcPr>
          <w:p>
            <w:pPr>
              <w:spacing w:after="20"/>
            </w:pPr>
            <w:r>
              <w:rPr>
                <w:sz w:val="17"/>
              </w:rPr>
              <w:t>Exit ticket or draft paragraph</w:t>
            </w:r>
          </w:p>
        </w:tc>
      </w:tr>
    </w:tbl>
    <w:p>
      <w:pPr>
        <w:spacing w:after="20"/>
      </w:pPr>
    </w:p>
    <w:p>
      <w:pPr>
        <w:pStyle w:val="Heading2"/>
      </w:pPr>
      <w:r>
        <w:t>Sensitive-content protocol</w:t>
      </w:r>
    </w:p>
    <w:p>
      <w:pPr>
        <w:keepLines/>
        <w:spacing w:after="30"/>
        <w:ind w:left="317" w:hanging="230"/>
      </w:pPr>
      <w:r>
        <w:rPr>
          <w:b/>
        </w:rPr>
        <w:t xml:space="preserve">• </w:t>
      </w:r>
      <w:r>
        <w:t>Preview why difficult evidence is necessary for the historical question.</w:t>
      </w:r>
    </w:p>
    <w:p>
      <w:pPr>
        <w:keepLines/>
        <w:spacing w:after="30"/>
        <w:ind w:left="317" w:hanging="230"/>
      </w:pPr>
      <w:r>
        <w:rPr>
          <w:b/>
        </w:rPr>
        <w:t xml:space="preserve">• </w:t>
      </w:r>
      <w:r>
        <w:t>Use only the minimum harmful language or imagery required for analysis.</w:t>
      </w:r>
    </w:p>
    <w:p>
      <w:pPr>
        <w:keepLines/>
        <w:spacing w:after="30"/>
        <w:ind w:left="317" w:hanging="230"/>
      </w:pPr>
      <w:r>
        <w:rPr>
          <w:b/>
        </w:rPr>
        <w:t xml:space="preserve">• </w:t>
      </w:r>
      <w:r>
        <w:t>Provide context before display, and never use violence as a surprise hook.</w:t>
      </w:r>
    </w:p>
    <w:p>
      <w:pPr>
        <w:keepLines/>
        <w:spacing w:after="30"/>
        <w:ind w:left="317" w:hanging="230"/>
      </w:pPr>
      <w:r>
        <w:rPr>
          <w:b/>
        </w:rPr>
        <w:t xml:space="preserve">• </w:t>
      </w:r>
      <w:r>
        <w:t>Offer an equivalent source or mode when a medium is not essential to the outcome.</w:t>
      </w:r>
    </w:p>
    <w:p>
      <w:pPr>
        <w:keepLines/>
        <w:spacing w:after="30"/>
        <w:ind w:left="317" w:hanging="230"/>
      </w:pPr>
      <w:r>
        <w:rPr>
          <w:b/>
        </w:rPr>
        <w:t xml:space="preserve">• </w:t>
      </w:r>
      <w:r>
        <w:t>End with historical interpretation and agency, not spectacle.</w:t>
      </w:r>
    </w:p>
    <w:p>
      <w:pPr>
        <w:pStyle w:val="Heading1"/>
      </w:pPr>
      <w:r>
        <w:t>5. Fall 2026 Fifteen-Week Teaching Plan</w:t>
      </w:r>
    </w:p>
    <w:p>
      <w:pPr>
        <w:pStyle w:val="Heading2"/>
      </w:pPr>
      <w:r>
        <w:t>Week 1 · August 24–28, 2026: Where—and When—Is the West?</w:t>
      </w:r>
    </w:p>
    <w:p>
      <w:r>
        <w:rPr>
          <w:b/>
        </w:rPr>
        <w:t xml:space="preserve">Inquiry: </w:t>
      </w:r>
      <w:r>
        <w:t>What changes when “the West” is treated as a relationship and a process rather than a fixed region?</w:t>
      </w:r>
    </w:p>
    <w:p>
      <w:r>
        <w:rPr>
          <w:b/>
        </w:rPr>
        <w:t xml:space="preserve">Content spine: </w:t>
      </w:r>
      <w:r>
        <w:t>Competing maps and boundaries; Turner, borderlands, New Western History, and Indigenous-centered frameworks; Historical thinking and archive ethics</w:t>
      </w:r>
    </w:p>
    <w:p>
      <w:r>
        <w:rPr>
          <w:b/>
        </w:rPr>
        <w:t xml:space="preserve">Scholarship lens: </w:t>
      </w:r>
      <w:r>
        <w:t>Ned Blackhawk, The Rediscovery of America (2023), introduction or library-reserve excerpt.</w:t>
      </w:r>
    </w:p>
    <w:p>
      <w:r>
        <w:t>Tuesday/Thursday sequence:</w:t>
      </w:r>
    </w:p>
    <w:p>
      <w:r>
        <w:t>• Tuesday, August 25 — Course launch; diagnostic boundary map; establish evidence, discussion, and Decision Record norms.</w:t>
      </w:r>
    </w:p>
    <w:p>
      <w:r>
        <w:t>• Thursday, August 27 — Compare frontier, borderlands, regional, environmental, and Indigenous-centered frameworks; source clinic.</w:t>
      </w:r>
    </w:p>
    <w:tbl>
      <w:tblPr>
        <w:tblStyle w:val="TableGrid"/>
        <w:tblW w:type="auto" w:w="0"/>
        <w:tblLook w:firstColumn="1" w:firstRow="1" w:lastColumn="0" w:lastRow="0" w:noHBand="0" w:noVBand="1" w:val="04A0"/>
      </w:tblPr>
      <w:tblGrid>
        <w:gridCol w:w="10166"/>
      </w:tblGrid>
      <w:tr>
        <w:trPr>
          <w:cantSplit/>
          <w:tblHeader/>
        </w:trPr>
        <w:tc>
          <w:tcPr>
            <w:tcW w:type="dxa" w:w="10166"/>
            <w:shd w:fill="F7F3EA"/>
            <w:tcMar>
              <w:top w:w="110" w:type="dxa"/>
              <w:start w:w="140" w:type="dxa"/>
              <w:bottom w:w="110" w:type="dxa"/>
              <w:end w:w="140" w:type="dxa"/>
            </w:tcMar>
          </w:tcPr>
          <w:p>
            <w:r>
              <w:rPr>
                <w:b/>
                <w:color w:val="A04E32"/>
              </w:rPr>
              <w:t>Calendar note</w:t>
              <w:br/>
            </w:r>
            <w:r>
              <w:t>First T/Th meeting is Tuesday, August 25.</w:t>
            </w:r>
          </w:p>
        </w:tc>
      </w:tr>
    </w:tbl>
    <w:p>
      <w:pPr>
        <w:spacing w:after="20"/>
      </w:pPr>
    </w:p>
    <w:p>
      <w:r>
        <w:rPr>
          <w:b/>
        </w:rPr>
        <w:t xml:space="preserve">Evidence/deliverable: </w:t>
      </w:r>
      <w:r>
        <w:t>Diagnostic boundary map and exit ticket; completion evidence only.</w:t>
      </w:r>
    </w:p>
    <w:p>
      <w:r>
        <w:rPr>
          <w:b/>
        </w:rPr>
        <w:t xml:space="preserve">Instructor preparation: </w:t>
      </w:r>
      <w:r>
        <w:t>Open all links; select or place the scholarship excerpt on reserve; prepare accessible source copies; identify one likely misconception and one local connection.</w:t>
      </w:r>
    </w:p>
    <w:p>
      <w:pPr>
        <w:pStyle w:val="Heading2"/>
      </w:pPr>
      <w:r>
        <w:t>Week 2 · August 31–September 4, 2026: Indigenous Worlds and Competing Empires, 1700s</w:t>
      </w:r>
    </w:p>
    <w:p>
      <w:r>
        <w:rPr>
          <w:b/>
        </w:rPr>
        <w:t xml:space="preserve">Inquiry: </w:t>
      </w:r>
      <w:r>
        <w:t>Who held continental power in the eighteenth-century West, and how did mobility make that power?</w:t>
      </w:r>
    </w:p>
    <w:p>
      <w:r>
        <w:rPr>
          <w:b/>
        </w:rPr>
        <w:t xml:space="preserve">Content spine: </w:t>
      </w:r>
      <w:r>
        <w:t>Comanche, Lakota, Pueblo, and other Indigenous polities; Spanish, French, British, and Native diplomacy; Horses, trade, disease, kinship, and captive exchange</w:t>
      </w:r>
    </w:p>
    <w:p>
      <w:r>
        <w:rPr>
          <w:b/>
        </w:rPr>
        <w:t xml:space="preserve">Scholarship lens: </w:t>
      </w:r>
      <w:r>
        <w:t>Pekka Hämäläinen, Indigenous Continent (2022), selected excerpt; Anne F. Hyde, Born of Lakes and Plains (2022), selected excerpt.</w:t>
      </w:r>
    </w:p>
    <w:p>
      <w:r>
        <w:t>Tuesday/Thursday sequence:</w:t>
      </w:r>
    </w:p>
    <w:p>
      <w:r>
        <w:t>• Tuesday, September 1 — Indigenous polities, mobility, kinship, and competing imperial claims in the eighteenth century.</w:t>
      </w:r>
    </w:p>
    <w:p>
      <w:r>
        <w:t>• Thursday, September 3 — Horses, trade, diplomacy, captive exchange, and a scale-of-power evidence lab.</w:t>
      </w:r>
    </w:p>
    <w:tbl>
      <w:tblPr>
        <w:tblStyle w:val="TableGrid"/>
        <w:tblW w:type="auto" w:w="0"/>
        <w:tblLook w:firstColumn="1" w:firstRow="1" w:lastColumn="0" w:lastRow="0" w:noHBand="0" w:noVBand="1" w:val="04A0"/>
      </w:tblPr>
      <w:tblGrid>
        <w:gridCol w:w="10166"/>
      </w:tblGrid>
      <w:tr>
        <w:trPr>
          <w:cantSplit/>
          <w:tblHeader/>
        </w:trPr>
        <w:tc>
          <w:tcPr>
            <w:tcW w:type="dxa" w:w="10166"/>
            <w:shd w:fill="F7F3EA"/>
            <w:tcMar>
              <w:top w:w="110" w:type="dxa"/>
              <w:start w:w="140" w:type="dxa"/>
              <w:bottom w:w="110" w:type="dxa"/>
              <w:end w:w="140" w:type="dxa"/>
            </w:tcMar>
          </w:tcPr>
          <w:p>
            <w:r>
              <w:rPr>
                <w:b/>
                <w:color w:val="A04E32"/>
              </w:rPr>
              <w:t>Calendar note</w:t>
              <w:br/>
            </w:r>
            <w:r>
              <w:t>Reading &amp; Reasoning Check 1 due Friday, September 4.</w:t>
            </w:r>
          </w:p>
        </w:tc>
      </w:tr>
    </w:tbl>
    <w:p>
      <w:pPr>
        <w:spacing w:after="20"/>
      </w:pPr>
    </w:p>
    <w:p>
      <w:r>
        <w:rPr>
          <w:b/>
        </w:rPr>
        <w:t xml:space="preserve">Evidence/deliverable: </w:t>
      </w:r>
      <w:r>
        <w:t>Reading &amp; Reasoning Check 1.</w:t>
      </w:r>
    </w:p>
    <w:p>
      <w:r>
        <w:rPr>
          <w:b/>
        </w:rPr>
        <w:t xml:space="preserve">Instructor preparation: </w:t>
      </w:r>
      <w:r>
        <w:t>Open all links; select or place the scholarship excerpt on reserve; prepare accessible source copies; identify one likely misconception and one local connection.</w:t>
      </w:r>
    </w:p>
    <w:p>
      <w:pPr>
        <w:pStyle w:val="Heading2"/>
      </w:pPr>
      <w:r>
        <w:t>Week 3 · September 7–11, 2026: Borderlands, Louisiana, and the Platte Purchase</w:t>
      </w:r>
    </w:p>
    <w:p>
      <w:r>
        <w:rPr>
          <w:b/>
        </w:rPr>
        <w:t xml:space="preserve">Inquiry: </w:t>
      </w:r>
      <w:r>
        <w:t>How did distant imperial claims become local dispossession and governance?</w:t>
      </w:r>
    </w:p>
    <w:p>
      <w:r>
        <w:rPr>
          <w:b/>
        </w:rPr>
        <w:t xml:space="preserve">Content spine: </w:t>
      </w:r>
      <w:r>
        <w:t>Louisiana Purchase and contested sovereignty; Lewis and Clark as diplomacy and intelligence; Missouri statehood, the Platte Purchase, and local archival traces</w:t>
      </w:r>
    </w:p>
    <w:p>
      <w:r>
        <w:rPr>
          <w:b/>
        </w:rPr>
        <w:t xml:space="preserve">Scholarship lens: </w:t>
      </w:r>
      <w:r>
        <w:t>Anne F. Hyde, Born of Lakes and Plains (2022), selected chapter or excerpt.</w:t>
      </w:r>
    </w:p>
    <w:p>
      <w:r>
        <w:t>Tuesday/Thursday sequence:</w:t>
      </w:r>
    </w:p>
    <w:p>
      <w:r>
        <w:t>• Tuesday, September 8 — Louisiana Purchase claims, diplomacy, intelligence, and contested sovereignty.</w:t>
      </w:r>
    </w:p>
    <w:p>
      <w:r>
        <w:t>• Thursday, September 10 — Platte Purchase document chain, Northwest archive orientation, and Mapping the West studio.</w:t>
      </w:r>
    </w:p>
    <w:tbl>
      <w:tblPr>
        <w:tblStyle w:val="TableGrid"/>
        <w:tblW w:type="auto" w:w="0"/>
        <w:tblLook w:firstColumn="1" w:firstRow="1" w:lastColumn="0" w:lastRow="0" w:noHBand="0" w:noVBand="1" w:val="04A0"/>
      </w:tblPr>
      <w:tblGrid>
        <w:gridCol w:w="10166"/>
      </w:tblGrid>
      <w:tr>
        <w:trPr>
          <w:cantSplit/>
          <w:tblHeader/>
        </w:trPr>
        <w:tc>
          <w:tcPr>
            <w:tcW w:type="dxa" w:w="10166"/>
            <w:shd w:fill="F7F3EA"/>
            <w:tcMar>
              <w:top w:w="110" w:type="dxa"/>
              <w:start w:w="140" w:type="dxa"/>
              <w:bottom w:w="110" w:type="dxa"/>
              <w:end w:w="140" w:type="dxa"/>
            </w:tcMar>
          </w:tcPr>
          <w:p>
            <w:r>
              <w:rPr>
                <w:b/>
                <w:color w:val="A04E32"/>
              </w:rPr>
              <w:t>Calendar note</w:t>
              <w:br/>
            </w:r>
            <w:r>
              <w:t>Labor Day is Monday, September 7; it does not cancel a T/Th meeting. Mapping the West is due Friday, September 18.</w:t>
            </w:r>
          </w:p>
        </w:tc>
      </w:tr>
    </w:tbl>
    <w:p>
      <w:pPr>
        <w:spacing w:after="20"/>
      </w:pPr>
    </w:p>
    <w:p>
      <w:r>
        <w:rPr>
          <w:b/>
        </w:rPr>
        <w:t xml:space="preserve">Evidence/deliverable: </w:t>
      </w:r>
      <w:r>
        <w:t>Mapping studio draft; major submission follows Friday, September 18.</w:t>
      </w:r>
    </w:p>
    <w:p>
      <w:r>
        <w:rPr>
          <w:b/>
        </w:rPr>
        <w:t xml:space="preserve">Instructor preparation: </w:t>
      </w:r>
      <w:r>
        <w:t>Open all links; select or place the scholarship excerpt on reserve; prepare accessible source copies; identify one likely misconception and one local connection.</w:t>
      </w:r>
    </w:p>
    <w:p>
      <w:pPr>
        <w:pStyle w:val="Heading2"/>
      </w:pPr>
      <w:r>
        <w:t>Week 4 · September 14–18, 2026: Removal, Sovereignty, and the Mexican North</w:t>
      </w:r>
    </w:p>
    <w:p>
      <w:r>
        <w:rPr>
          <w:b/>
        </w:rPr>
        <w:t xml:space="preserve">Inquiry: </w:t>
      </w:r>
      <w:r>
        <w:t>How did treaties and removals remake western space without eliminating Indigenous sovereignty?</w:t>
      </w:r>
    </w:p>
    <w:p>
      <w:r>
        <w:rPr>
          <w:b/>
        </w:rPr>
        <w:t xml:space="preserve">Content spine: </w:t>
      </w:r>
      <w:r>
        <w:t>Removal and Indian Territory; Treaties as negotiated and coercive texts; Mexico’s northern borderlands and Indigenous diplomacy</w:t>
      </w:r>
    </w:p>
    <w:p>
      <w:r>
        <w:rPr>
          <w:b/>
        </w:rPr>
        <w:t xml:space="preserve">Scholarship lens: </w:t>
      </w:r>
      <w:r>
        <w:t>Ned Blackhawk, The Rediscovery of America (2023), selected excerpt.</w:t>
      </w:r>
    </w:p>
    <w:p>
      <w:r>
        <w:t>Tuesday/Thursday sequence:</w:t>
      </w:r>
    </w:p>
    <w:p>
      <w:r>
        <w:t>• Tuesday, September 15 — Removal, treaty vocabulary, parties, translation, coercion, and sovereignty.</w:t>
      </w:r>
    </w:p>
    <w:p>
      <w:r>
        <w:t>• Thursday, September 17 — Mexican North, jurisdiction, Indigenous diplomacy, and Source Reasoning Lab 1 annotation.</w:t>
      </w:r>
    </w:p>
    <w:tbl>
      <w:tblPr>
        <w:tblStyle w:val="TableGrid"/>
        <w:tblW w:type="auto" w:w="0"/>
        <w:tblLook w:firstColumn="1" w:firstRow="1" w:lastColumn="0" w:lastRow="0" w:noHBand="0" w:noVBand="1" w:val="04A0"/>
      </w:tblPr>
      <w:tblGrid>
        <w:gridCol w:w="10166"/>
      </w:tblGrid>
      <w:tr>
        <w:trPr>
          <w:cantSplit/>
          <w:tblHeader/>
        </w:trPr>
        <w:tc>
          <w:tcPr>
            <w:tcW w:type="dxa" w:w="10166"/>
            <w:shd w:fill="F7F3EA"/>
            <w:tcMar>
              <w:top w:w="110" w:type="dxa"/>
              <w:start w:w="140" w:type="dxa"/>
              <w:bottom w:w="110" w:type="dxa"/>
              <w:end w:w="140" w:type="dxa"/>
            </w:tcMar>
          </w:tcPr>
          <w:p>
            <w:r>
              <w:rPr>
                <w:b/>
                <w:color w:val="A04E32"/>
              </w:rPr>
              <w:t>Calendar note</w:t>
              <w:br/>
            </w:r>
            <w:r>
              <w:t>Mapping the West due Friday, September 18; Source Lab 1 due Friday, September 25.</w:t>
            </w:r>
          </w:p>
        </w:tc>
      </w:tr>
    </w:tbl>
    <w:p>
      <w:pPr>
        <w:spacing w:after="20"/>
      </w:pPr>
    </w:p>
    <w:p>
      <w:r>
        <w:rPr>
          <w:b/>
        </w:rPr>
        <w:t xml:space="preserve">Evidence/deliverable: </w:t>
      </w:r>
      <w:r>
        <w:t>Mapping the West due Friday; Source Reasoning Lab 1 annotation in class.</w:t>
      </w:r>
    </w:p>
    <w:p>
      <w:r>
        <w:rPr>
          <w:b/>
        </w:rPr>
        <w:t xml:space="preserve">Instructor preparation: </w:t>
      </w:r>
      <w:r>
        <w:t>Open all links; select or place the scholarship excerpt on reserve; prepare accessible source copies; identify one likely misconception and one local connection.</w:t>
      </w:r>
    </w:p>
    <w:p>
      <w:pPr>
        <w:pStyle w:val="Heading2"/>
      </w:pPr>
      <w:r>
        <w:t>Week 5 · September 21–25, 2026: Manifest Destiny, War, Slavery, and Gold</w:t>
      </w:r>
    </w:p>
    <w:p>
      <w:r>
        <w:rPr>
          <w:b/>
        </w:rPr>
        <w:t xml:space="preserve">Inquiry: </w:t>
      </w:r>
      <w:r>
        <w:t>Was U.S. continental expansion a national project, a sectional crisis, an imperial war—or all three?</w:t>
      </w:r>
    </w:p>
    <w:p>
      <w:r>
        <w:rPr>
          <w:b/>
        </w:rPr>
        <w:t xml:space="preserve">Content spine: </w:t>
      </w:r>
      <w:r>
        <w:t>Texas, the U.S.–Mexico War, and the Treaty of Guadalupe Hidalgo; Slavery’s western reach; California conquest and the Gold Rush</w:t>
      </w:r>
    </w:p>
    <w:p>
      <w:r>
        <w:rPr>
          <w:b/>
        </w:rPr>
        <w:t xml:space="preserve">Scholarship lens: </w:t>
      </w:r>
      <w:r>
        <w:t>Kevin Waite, West of Slavery (2021), selected excerpt.</w:t>
      </w:r>
    </w:p>
    <w:p>
      <w:r>
        <w:t>Tuesday/Thursday sequence:</w:t>
      </w:r>
    </w:p>
    <w:p>
      <w:r>
        <w:t>• Tuesday, September 22 — Manifest Destiny, Texas, the U.S.–Mexico War, and conquest.</w:t>
      </w:r>
    </w:p>
    <w:p>
      <w:r>
        <w:t>• Thursday, September 24 — Slavery’s western reach, gold, property, and a corroboration controversy.</w:t>
      </w:r>
    </w:p>
    <w:tbl>
      <w:tblPr>
        <w:tblStyle w:val="TableGrid"/>
        <w:tblW w:type="auto" w:w="0"/>
        <w:tblLook w:firstColumn="1" w:firstRow="1" w:lastColumn="0" w:lastRow="0" w:noHBand="0" w:noVBand="1" w:val="04A0"/>
      </w:tblPr>
      <w:tblGrid>
        <w:gridCol w:w="10166"/>
      </w:tblGrid>
      <w:tr>
        <w:trPr>
          <w:cantSplit/>
          <w:tblHeader/>
        </w:trPr>
        <w:tc>
          <w:tcPr>
            <w:tcW w:type="dxa" w:w="10166"/>
            <w:shd w:fill="F7F3EA"/>
            <w:tcMar>
              <w:top w:w="110" w:type="dxa"/>
              <w:start w:w="140" w:type="dxa"/>
              <w:bottom w:w="110" w:type="dxa"/>
              <w:end w:w="140" w:type="dxa"/>
            </w:tcMar>
          </w:tcPr>
          <w:p>
            <w:r>
              <w:rPr>
                <w:b/>
                <w:color w:val="A04E32"/>
              </w:rPr>
              <w:t>Calendar note</w:t>
              <w:br/>
            </w:r>
            <w:r>
              <w:t>Source Reasoning Lab 1 due Friday, September 25.</w:t>
            </w:r>
          </w:p>
        </w:tc>
      </w:tr>
    </w:tbl>
    <w:p>
      <w:pPr>
        <w:spacing w:after="20"/>
      </w:pPr>
    </w:p>
    <w:p>
      <w:r>
        <w:rPr>
          <w:b/>
        </w:rPr>
        <w:t xml:space="preserve">Evidence/deliverable: </w:t>
      </w:r>
      <w:r>
        <w:t>Source Reasoning Lab 1 and Reading &amp; Reasoning Check 3.</w:t>
      </w:r>
    </w:p>
    <w:p>
      <w:r>
        <w:rPr>
          <w:b/>
        </w:rPr>
        <w:t xml:space="preserve">Instructor preparation: </w:t>
      </w:r>
      <w:r>
        <w:t>Open all links; select or place the scholarship excerpt on reserve; prepare accessible source copies; identify one likely misconception and one local connection.</w:t>
      </w:r>
    </w:p>
    <w:p>
      <w:pPr>
        <w:pStyle w:val="Heading2"/>
      </w:pPr>
      <w:r>
        <w:t>Week 6 · September 28–October 2, 2026: Overland Migration, Death, and Environment</w:t>
      </w:r>
    </w:p>
    <w:p>
      <w:r>
        <w:rPr>
          <w:b/>
        </w:rPr>
        <w:t xml:space="preserve">Inquiry: </w:t>
      </w:r>
      <w:r>
        <w:t>How did migrants’ routes depend on Indigenous landscapes, family labor, and unequal exposure to risk?</w:t>
      </w:r>
    </w:p>
    <w:p>
      <w:r>
        <w:rPr>
          <w:b/>
        </w:rPr>
        <w:t xml:space="preserve">Content spine: </w:t>
      </w:r>
      <w:r>
        <w:t>Overland trails and guidebooks; Gender, family, and material life; Disease, burial, and environmental limits</w:t>
      </w:r>
    </w:p>
    <w:p>
      <w:r>
        <w:rPr>
          <w:b/>
        </w:rPr>
        <w:t xml:space="preserve">Scholarship lens: </w:t>
      </w:r>
      <w:r>
        <w:t>Sarah Keyes, American Burial Ground (2023), selected excerpt.</w:t>
      </w:r>
    </w:p>
    <w:p>
      <w:r>
        <w:t>Tuesday/Thursday sequence:</w:t>
      </w:r>
    </w:p>
    <w:p>
      <w:r>
        <w:t>• Tuesday, September 29 — Route and risk mapping from trail diaries, material traces, and quantitative evidence.</w:t>
      </w:r>
    </w:p>
    <w:p>
      <w:r>
        <w:t>• Thursday, October 1 — Family labor, gender, Indigenous homelands, disease, mortality, and Source Lab 2 transfer.</w:t>
      </w:r>
    </w:p>
    <w:tbl>
      <w:tblPr>
        <w:tblStyle w:val="TableGrid"/>
        <w:tblW w:type="auto" w:w="0"/>
        <w:tblLook w:firstColumn="1" w:firstRow="1" w:lastColumn="0" w:lastRow="0" w:noHBand="0" w:noVBand="1" w:val="04A0"/>
      </w:tblPr>
      <w:tblGrid>
        <w:gridCol w:w="10166"/>
      </w:tblGrid>
      <w:tr>
        <w:trPr>
          <w:cantSplit/>
          <w:tblHeader/>
        </w:trPr>
        <w:tc>
          <w:tcPr>
            <w:tcW w:type="dxa" w:w="10166"/>
            <w:shd w:fill="F7F3EA"/>
            <w:tcMar>
              <w:top w:w="110" w:type="dxa"/>
              <w:start w:w="140" w:type="dxa"/>
              <w:bottom w:w="110" w:type="dxa"/>
              <w:end w:w="140" w:type="dxa"/>
            </w:tcMar>
          </w:tcPr>
          <w:p>
            <w:r>
              <w:rPr>
                <w:b/>
                <w:color w:val="A04E32"/>
              </w:rPr>
              <w:t>Calendar note</w:t>
              <w:br/>
            </w:r>
            <w:r>
              <w:t>Source Reasoning Lab 2 due Friday, October 2.</w:t>
            </w:r>
          </w:p>
        </w:tc>
      </w:tr>
    </w:tbl>
    <w:p>
      <w:pPr>
        <w:spacing w:after="20"/>
      </w:pPr>
    </w:p>
    <w:p>
      <w:r>
        <w:rPr>
          <w:b/>
        </w:rPr>
        <w:t xml:space="preserve">Evidence/deliverable: </w:t>
      </w:r>
      <w:r>
        <w:t>Source Reasoning Lab 2 and Reading &amp; Reasoning Check 4.</w:t>
      </w:r>
    </w:p>
    <w:p>
      <w:r>
        <w:rPr>
          <w:b/>
        </w:rPr>
        <w:t xml:space="preserve">Instructor preparation: </w:t>
      </w:r>
      <w:r>
        <w:t>Open all links; select or place the scholarship excerpt on reserve; prepare accessible source copies; identify one likely misconception and one local connection.</w:t>
      </w:r>
    </w:p>
    <w:p>
      <w:pPr>
        <w:pStyle w:val="Heading2"/>
      </w:pPr>
      <w:r>
        <w:t>Week 7 · October 5–9, 2026: Civil War and Continental State-Building</w:t>
      </w:r>
    </w:p>
    <w:p>
      <w:r>
        <w:rPr>
          <w:b/>
        </w:rPr>
        <w:t xml:space="preserve">Inquiry: </w:t>
      </w:r>
      <w:r>
        <w:t>How did the Civil War extend into the West, and whose freedom did wartime state-building secure?</w:t>
      </w:r>
    </w:p>
    <w:p>
      <w:r>
        <w:rPr>
          <w:b/>
        </w:rPr>
        <w:t xml:space="preserve">Content spine: </w:t>
      </w:r>
      <w:r>
        <w:t>Civil War in Missouri, Indian Territory, New Mexico, and the Pacific; Dakota War and the Long Walk; Federal military power and emancipation’s uneven geography</w:t>
      </w:r>
    </w:p>
    <w:p>
      <w:r>
        <w:rPr>
          <w:b/>
        </w:rPr>
        <w:t xml:space="preserve">Scholarship lens: </w:t>
      </w:r>
      <w:r>
        <w:t>Elliott West, Continental Reckoning (2023), selected excerpt.</w:t>
      </w:r>
    </w:p>
    <w:p>
      <w:r>
        <w:t>Tuesday/Thursday sequence:</w:t>
      </w:r>
    </w:p>
    <w:p>
      <w:r>
        <w:t>• Tuesday, October 6 — Civil War in Missouri, Indian Territory, New Mexico, and the Pacific.</w:t>
      </w:r>
    </w:p>
    <w:p>
      <w:r>
        <w:t>• Thursday, October 8 — Dakota War, the Long Walk, emancipation, Greater Reconstruction, and capstone scope conferences.</w:t>
      </w:r>
    </w:p>
    <w:tbl>
      <w:tblPr>
        <w:tblStyle w:val="TableGrid"/>
        <w:tblW w:type="auto" w:w="0"/>
        <w:tblLook w:firstColumn="1" w:firstRow="1" w:lastColumn="0" w:lastRow="0" w:noHBand="0" w:noVBand="1" w:val="04A0"/>
      </w:tblPr>
      <w:tblGrid>
        <w:gridCol w:w="10166"/>
      </w:tblGrid>
      <w:tr>
        <w:trPr>
          <w:cantSplit/>
          <w:tblHeader/>
        </w:trPr>
        <w:tc>
          <w:tcPr>
            <w:tcW w:type="dxa" w:w="10166"/>
            <w:shd w:fill="F7F3EA"/>
            <w:tcMar>
              <w:top w:w="110" w:type="dxa"/>
              <w:start w:w="140" w:type="dxa"/>
              <w:bottom w:w="110" w:type="dxa"/>
              <w:end w:w="140" w:type="dxa"/>
            </w:tcMar>
          </w:tcPr>
          <w:p>
            <w:r>
              <w:rPr>
                <w:b/>
                <w:color w:val="A04E32"/>
              </w:rPr>
              <w:t>Calendar note</w:t>
              <w:br/>
            </w:r>
            <w:r>
              <w:t>Capstone Question and Scope due Friday, October 9.</w:t>
            </w:r>
          </w:p>
        </w:tc>
      </w:tr>
    </w:tbl>
    <w:p>
      <w:pPr>
        <w:spacing w:after="20"/>
      </w:pPr>
    </w:p>
    <w:p>
      <w:r>
        <w:rPr>
          <w:b/>
        </w:rPr>
        <w:t xml:space="preserve">Evidence/deliverable: </w:t>
      </w:r>
      <w:r>
        <w:t>Capstone Question and Scope Conference and Reading &amp; Reasoning Check 5.</w:t>
      </w:r>
    </w:p>
    <w:p>
      <w:r>
        <w:rPr>
          <w:b/>
        </w:rPr>
        <w:t xml:space="preserve">Instructor preparation: </w:t>
      </w:r>
      <w:r>
        <w:t>Open all links; select or place the scholarship excerpt on reserve; prepare accessible source copies; identify one likely misconception and one local connection.</w:t>
      </w:r>
    </w:p>
    <w:p>
      <w:pPr>
        <w:pStyle w:val="Heading2"/>
      </w:pPr>
      <w:r>
        <w:t>Week 8 · October 12–16, 2026: Railroads, Corporate Empire, and Dispossession</w:t>
      </w:r>
    </w:p>
    <w:p>
      <w:r>
        <w:rPr>
          <w:b/>
        </w:rPr>
        <w:t xml:space="preserve">Inquiry: </w:t>
      </w:r>
      <w:r>
        <w:t>What did railroads connect, and what relations of land, labor, and violence did they conceal?</w:t>
      </w:r>
    </w:p>
    <w:p>
      <w:r>
        <w:rPr>
          <w:b/>
        </w:rPr>
        <w:t xml:space="preserve">Content spine: </w:t>
      </w:r>
      <w:r>
        <w:t>Railroad finance and federal land policy; Chinese, Indigenous, Black, Mexican, and white labor; Buffalo destruction, military logistics, and market integration</w:t>
      </w:r>
    </w:p>
    <w:p>
      <w:r>
        <w:rPr>
          <w:b/>
        </w:rPr>
        <w:t xml:space="preserve">Scholarship lens: </w:t>
      </w:r>
      <w:r>
        <w:t>Manu Karuka, Empire’s Tracks (2019), selected excerpt.</w:t>
      </w:r>
    </w:p>
    <w:p>
      <w:r>
        <w:t>Tuesday/Thursday sequence:</w:t>
      </w:r>
    </w:p>
    <w:p>
      <w:r>
        <w:t>• Tuesday, October 13 — Railroad promotion, federal subsidy, land policy, corporate sovereignty, and labor.</w:t>
      </w:r>
    </w:p>
    <w:p>
      <w:r>
        <w:t>• Thursday, October 15 — Railroads, military logistics, dispossession, and the in-class historiographical synthesis.</w:t>
      </w:r>
    </w:p>
    <w:tbl>
      <w:tblPr>
        <w:tblStyle w:val="TableGrid"/>
        <w:tblW w:type="auto" w:w="0"/>
        <w:tblLook w:firstColumn="1" w:firstRow="1" w:lastColumn="0" w:lastRow="0" w:noHBand="0" w:noVBand="1" w:val="04A0"/>
      </w:tblPr>
      <w:tblGrid>
        <w:gridCol w:w="10166"/>
      </w:tblGrid>
      <w:tr>
        <w:trPr>
          <w:cantSplit/>
          <w:tblHeader/>
        </w:trPr>
        <w:tc>
          <w:tcPr>
            <w:tcW w:type="dxa" w:w="10166"/>
            <w:shd w:fill="F7F3EA"/>
            <w:tcMar>
              <w:top w:w="110" w:type="dxa"/>
              <w:start w:w="140" w:type="dxa"/>
              <w:bottom w:w="110" w:type="dxa"/>
              <w:end w:w="140" w:type="dxa"/>
            </w:tcMar>
          </w:tcPr>
          <w:p>
            <w:r>
              <w:rPr>
                <w:b/>
                <w:color w:val="A04E32"/>
              </w:rPr>
              <w:t>Calendar note</w:t>
              <w:br/>
            </w:r>
            <w:r>
              <w:t>Campus full-term classes meet normally; the October 12–16 online break does not apply. Historiographical Portfolio due Friday, October 16.</w:t>
            </w:r>
          </w:p>
        </w:tc>
      </w:tr>
    </w:tbl>
    <w:p>
      <w:pPr>
        <w:spacing w:after="20"/>
      </w:pPr>
    </w:p>
    <w:p>
      <w:r>
        <w:rPr>
          <w:b/>
        </w:rPr>
        <w:t xml:space="preserve">Evidence/deliverable: </w:t>
      </w:r>
      <w:r>
        <w:t>Historiographical Judgment Portfolio and Reading &amp; Reasoning Check 6.</w:t>
      </w:r>
    </w:p>
    <w:p>
      <w:r>
        <w:rPr>
          <w:b/>
        </w:rPr>
        <w:t xml:space="preserve">Instructor preparation: </w:t>
      </w:r>
      <w:r>
        <w:t>Open all links; select or place the scholarship excerpt on reserve; prepare accessible source copies; identify one likely misconception and one local connection.</w:t>
      </w:r>
    </w:p>
    <w:p>
      <w:pPr>
        <w:pStyle w:val="Heading2"/>
      </w:pPr>
      <w:r>
        <w:t>Week 9 · October 19–23, 2026: Reservations, Allotment, Education, and Indigenous Persistence</w:t>
      </w:r>
    </w:p>
    <w:p>
      <w:r>
        <w:rPr>
          <w:b/>
        </w:rPr>
        <w:t xml:space="preserve">Inquiry: </w:t>
      </w:r>
      <w:r>
        <w:t>How did assimilation policy try to reorganize Indigenous land and family life, and how did Native people survive and reshape it?</w:t>
      </w:r>
    </w:p>
    <w:p>
      <w:r>
        <w:rPr>
          <w:b/>
        </w:rPr>
        <w:t xml:space="preserve">Content spine: </w:t>
      </w:r>
      <w:r>
        <w:t>Reservation policy and the Dawes Act; Boarding schools and child removal; Religious movements, resistance, Wounded Knee, and persistence</w:t>
      </w:r>
    </w:p>
    <w:p>
      <w:r>
        <w:rPr>
          <w:b/>
        </w:rPr>
        <w:t xml:space="preserve">Scholarship lens: </w:t>
      </w:r>
      <w:r>
        <w:t>Katrina Phillips, Staging Indigeneity (2021), selected excerpt.</w:t>
      </w:r>
    </w:p>
    <w:p>
      <w:r>
        <w:t>Tuesday/Thursday sequence:</w:t>
      </w:r>
    </w:p>
    <w:p>
      <w:r>
        <w:t>• Tuesday, October 20 — Reservation policy, allotment, kinship, and settler governance.</w:t>
      </w:r>
    </w:p>
    <w:p>
      <w:r>
        <w:t>• Thursday, October 22 — Boarding-school records, child removal, archival harm, Indigenous persistence, and data sovereignty.</w:t>
      </w:r>
    </w:p>
    <w:tbl>
      <w:tblPr>
        <w:tblStyle w:val="TableGrid"/>
        <w:tblW w:type="auto" w:w="0"/>
        <w:tblLook w:firstColumn="1" w:firstRow="1" w:lastColumn="0" w:lastRow="0" w:noHBand="0" w:noVBand="1" w:val="04A0"/>
      </w:tblPr>
      <w:tblGrid>
        <w:gridCol w:w="10166"/>
      </w:tblGrid>
      <w:tr>
        <w:trPr>
          <w:cantSplit/>
          <w:tblHeader/>
        </w:trPr>
        <w:tc>
          <w:tcPr>
            <w:tcW w:type="dxa" w:w="10166"/>
            <w:shd w:fill="F7F3EA"/>
            <w:tcMar>
              <w:top w:w="110" w:type="dxa"/>
              <w:start w:w="140" w:type="dxa"/>
              <w:bottom w:w="110" w:type="dxa"/>
              <w:end w:w="140" w:type="dxa"/>
            </w:tcMar>
          </w:tcPr>
          <w:p>
            <w:r>
              <w:rPr>
                <w:b/>
                <w:color w:val="A04E32"/>
              </w:rPr>
              <w:t>Calendar note</w:t>
              <w:br/>
            </w:r>
            <w:r>
              <w:t>Reading &amp; Reasoning Check 7 due Friday, October 23.</w:t>
            </w:r>
          </w:p>
        </w:tc>
      </w:tr>
    </w:tbl>
    <w:p>
      <w:pPr>
        <w:spacing w:after="20"/>
      </w:pPr>
    </w:p>
    <w:p>
      <w:r>
        <w:rPr>
          <w:b/>
        </w:rPr>
        <w:t xml:space="preserve">Evidence/deliverable: </w:t>
      </w:r>
      <w:r>
        <w:t>Reading &amp; Reasoning Check 7.</w:t>
      </w:r>
    </w:p>
    <w:p>
      <w:r>
        <w:rPr>
          <w:b/>
        </w:rPr>
        <w:t xml:space="preserve">Instructor preparation: </w:t>
      </w:r>
      <w:r>
        <w:t>Open all links; select or place the scholarship excerpt on reserve; prepare accessible source copies; identify one likely misconception and one local connection.</w:t>
      </w:r>
    </w:p>
    <w:p>
      <w:pPr>
        <w:pStyle w:val="Heading2"/>
      </w:pPr>
      <w:r>
        <w:t>Week 10 · October 26–30, 2026 — Homecoming Week: Racial Regimes, Labor, and Border Violence, 1880–1920</w:t>
      </w:r>
    </w:p>
    <w:p>
      <w:r>
        <w:rPr>
          <w:b/>
        </w:rPr>
        <w:t xml:space="preserve">Inquiry: </w:t>
      </w:r>
      <w:r>
        <w:t>How did law, labor markets, and public narrative make race in the modern West?</w:t>
      </w:r>
    </w:p>
    <w:p>
      <w:r>
        <w:rPr>
          <w:b/>
        </w:rPr>
        <w:t xml:space="preserve">Content spine: </w:t>
      </w:r>
      <w:r>
        <w:t>Chinese exclusion and anti-Asian violence; Black western communities and Jim Crow; Mexican Revolution, migration, and Texas border violence; Women’s politics and settler citizenship</w:t>
      </w:r>
    </w:p>
    <w:p>
      <w:r>
        <w:rPr>
          <w:b/>
        </w:rPr>
        <w:t xml:space="preserve">Scholarship lens: </w:t>
      </w:r>
      <w:r>
        <w:t>Kelly Lytle Hernández, Bad Mexicans (2022), or Monica Muñoz Martinez, The Injustice Never Leaves You (2018), selected excerpt.</w:t>
      </w:r>
    </w:p>
    <w:p>
      <w:r>
        <w:t>Tuesday/Thursday sequence:</w:t>
      </w:r>
    </w:p>
    <w:p>
      <w:r>
        <w:t>• Tuesday, October 27 — Racial formation through law, labor, migration, and border violence.</w:t>
      </w:r>
    </w:p>
    <w:p>
      <w:r>
        <w:t>• Thursday, October 29 — Newspaper comparison, corroboration, ethical quotation, and Source Lab 3 transfer.</w:t>
      </w:r>
    </w:p>
    <w:tbl>
      <w:tblPr>
        <w:tblStyle w:val="TableGrid"/>
        <w:tblW w:type="auto" w:w="0"/>
        <w:tblLook w:firstColumn="1" w:firstRow="1" w:lastColumn="0" w:lastRow="0" w:noHBand="0" w:noVBand="1" w:val="04A0"/>
      </w:tblPr>
      <w:tblGrid>
        <w:gridCol w:w="10166"/>
      </w:tblGrid>
      <w:tr>
        <w:trPr>
          <w:cantSplit/>
          <w:tblHeader/>
        </w:trPr>
        <w:tc>
          <w:tcPr>
            <w:tcW w:type="dxa" w:w="10166"/>
            <w:shd w:fill="F7F3EA"/>
            <w:tcMar>
              <w:top w:w="110" w:type="dxa"/>
              <w:start w:w="140" w:type="dxa"/>
              <w:bottom w:w="110" w:type="dxa"/>
              <w:end w:w="140" w:type="dxa"/>
            </w:tcMar>
          </w:tcPr>
          <w:p>
            <w:r>
              <w:rPr>
                <w:b/>
                <w:color w:val="A04E32"/>
              </w:rPr>
              <w:t>Calendar note</w:t>
              <w:br/>
            </w:r>
            <w:r>
              <w:t>Walkout Day is Friday, October 30; it does not cancel a T/Th meeting. Source Lab 3 is due Friday, October 30.</w:t>
            </w:r>
          </w:p>
        </w:tc>
      </w:tr>
    </w:tbl>
    <w:p>
      <w:pPr>
        <w:spacing w:after="20"/>
      </w:pPr>
    </w:p>
    <w:p>
      <w:r>
        <w:rPr>
          <w:b/>
        </w:rPr>
        <w:t xml:space="preserve">Evidence/deliverable: </w:t>
      </w:r>
      <w:r>
        <w:t>Source Reasoning Lab 3 and Reading &amp; Reasoning Check 8.</w:t>
      </w:r>
    </w:p>
    <w:p>
      <w:r>
        <w:rPr>
          <w:b/>
        </w:rPr>
        <w:t xml:space="preserve">Instructor preparation: </w:t>
      </w:r>
      <w:r>
        <w:t>Open all links; select or place the scholarship excerpt on reserve; prepare accessible source copies; identify one likely misconception and one local connection.</w:t>
      </w:r>
    </w:p>
    <w:p>
      <w:pPr>
        <w:pStyle w:val="Heading2"/>
      </w:pPr>
      <w:r>
        <w:t>Week 11 · November 2–6, 2026: Conservation, Reclamation, Extraction, and Tourism</w:t>
      </w:r>
    </w:p>
    <w:p>
      <w:r>
        <w:rPr>
          <w:b/>
        </w:rPr>
        <w:t xml:space="preserve">Inquiry: </w:t>
      </w:r>
      <w:r>
        <w:t>When reformers called western land “public,” whose uses and histories became illegible?</w:t>
      </w:r>
    </w:p>
    <w:p>
      <w:r>
        <w:rPr>
          <w:b/>
        </w:rPr>
        <w:t xml:space="preserve">Content spine: </w:t>
      </w:r>
      <w:r>
        <w:t>National parks and Indigenous dispossession; Federal reclamation and water; Mining, timber, and conservation; Tourism, authenticity, and public memory</w:t>
      </w:r>
    </w:p>
    <w:p>
      <w:r>
        <w:rPr>
          <w:b/>
        </w:rPr>
        <w:t xml:space="preserve">Scholarship lens: </w:t>
      </w:r>
      <w:r>
        <w:t>Megan Black, The Global Interior (2018), or Katrina Phillips, Staging Indigeneity (2021), selected excerpt.</w:t>
      </w:r>
    </w:p>
    <w:p>
      <w:r>
        <w:t>Tuesday/Thursday sequence:</w:t>
      </w:r>
    </w:p>
    <w:p>
      <w:r>
        <w:t>• Tuesday, November 3 — National parks, tourism, and Indigenous dispossession.</w:t>
      </w:r>
    </w:p>
    <w:p>
      <w:r>
        <w:t>• Thursday, November 5 — Reclamation, water, extraction, conservation, administrative power, and capstone source defenses.</w:t>
      </w:r>
    </w:p>
    <w:tbl>
      <w:tblPr>
        <w:tblStyle w:val="TableGrid"/>
        <w:tblW w:type="auto" w:w="0"/>
        <w:tblLook w:firstColumn="1" w:firstRow="1" w:lastColumn="0" w:lastRow="0" w:noHBand="0" w:noVBand="1" w:val="04A0"/>
      </w:tblPr>
      <w:tblGrid>
        <w:gridCol w:w="10166"/>
      </w:tblGrid>
      <w:tr>
        <w:trPr>
          <w:cantSplit/>
          <w:tblHeader/>
        </w:trPr>
        <w:tc>
          <w:tcPr>
            <w:tcW w:type="dxa" w:w="10166"/>
            <w:shd w:fill="F7F3EA"/>
            <w:tcMar>
              <w:top w:w="110" w:type="dxa"/>
              <w:start w:w="140" w:type="dxa"/>
              <w:bottom w:w="110" w:type="dxa"/>
              <w:end w:w="140" w:type="dxa"/>
            </w:tcMar>
          </w:tcPr>
          <w:p>
            <w:r>
              <w:rPr>
                <w:b/>
                <w:color w:val="A04E32"/>
              </w:rPr>
              <w:t>Calendar note</w:t>
              <w:br/>
            </w:r>
            <w:r>
              <w:t>Capstone Source Dossier due Friday, November 6.</w:t>
            </w:r>
          </w:p>
        </w:tc>
      </w:tr>
    </w:tbl>
    <w:p>
      <w:pPr>
        <w:spacing w:after="20"/>
      </w:pPr>
    </w:p>
    <w:p>
      <w:r>
        <w:rPr>
          <w:b/>
        </w:rPr>
        <w:t xml:space="preserve">Evidence/deliverable: </w:t>
      </w:r>
      <w:r>
        <w:t>Capstone Source Dossier and Defense; Reading &amp; Reasoning Check 9.</w:t>
      </w:r>
    </w:p>
    <w:p>
      <w:r>
        <w:rPr>
          <w:b/>
        </w:rPr>
        <w:t xml:space="preserve">Instructor preparation: </w:t>
      </w:r>
      <w:r>
        <w:t>Open all links; select or place the scholarship excerpt on reserve; prepare accessible source copies; identify one likely misconception and one local connection.</w:t>
      </w:r>
    </w:p>
    <w:p>
      <w:pPr>
        <w:pStyle w:val="Heading2"/>
      </w:pPr>
      <w:r>
        <w:t>Week 12 · November 9–13, 2026: Crisis and Mobilization in the West, 1920s–1945</w:t>
      </w:r>
    </w:p>
    <w:p>
      <w:r>
        <w:rPr>
          <w:b/>
        </w:rPr>
        <w:t xml:space="preserve">Inquiry: </w:t>
      </w:r>
      <w:r>
        <w:t>How did environmental crisis, federal development, and wartime mobilization redistribute opportunity, coercion, and vulnerability in the West?</w:t>
      </w:r>
    </w:p>
    <w:p>
      <w:r>
        <w:rPr>
          <w:b/>
        </w:rPr>
        <w:t xml:space="preserve">Content spine: </w:t>
      </w:r>
      <w:r>
        <w:t>Oil, boomtowns, Dust Bowl ecology, and migration; New Deal infrastructure, labor, and federal power; Japanese American incarceration, defense industry, Bracero labor, and Native military service</w:t>
      </w:r>
    </w:p>
    <w:p>
      <w:r>
        <w:rPr>
          <w:b/>
        </w:rPr>
        <w:t xml:space="preserve">Scholarship lens: </w:t>
      </w:r>
      <w:r>
        <w:t>Sarah Deutsch, Making a Modern U.S. West (2022), selected excerpt; pair with a Densho or Bracero oral history.</w:t>
      </w:r>
    </w:p>
    <w:p>
      <w:r>
        <w:t>Tuesday/Thursday sequence:</w:t>
      </w:r>
    </w:p>
    <w:p>
      <w:r>
        <w:t>• Tuesday, November 10 — Oil, Dust Bowl ecology, migration, photography, and causal explanation.</w:t>
      </w:r>
    </w:p>
    <w:p>
      <w:r>
        <w:t>• Thursday, November 12 — New Deal development, wartime mobilization, incarceration, Bracero labor, and oral-history ethics.</w:t>
      </w:r>
    </w:p>
    <w:tbl>
      <w:tblPr>
        <w:tblStyle w:val="TableGrid"/>
        <w:tblW w:type="auto" w:w="0"/>
        <w:tblLook w:firstColumn="1" w:firstRow="1" w:lastColumn="0" w:lastRow="0" w:noHBand="0" w:noVBand="1" w:val="04A0"/>
      </w:tblPr>
      <w:tblGrid>
        <w:gridCol w:w="10166"/>
      </w:tblGrid>
      <w:tr>
        <w:trPr>
          <w:cantSplit/>
          <w:tblHeader/>
        </w:trPr>
        <w:tc>
          <w:tcPr>
            <w:tcW w:type="dxa" w:w="10166"/>
            <w:shd w:fill="F7F3EA"/>
            <w:tcMar>
              <w:top w:w="110" w:type="dxa"/>
              <w:start w:w="140" w:type="dxa"/>
              <w:bottom w:w="110" w:type="dxa"/>
              <w:end w:w="140" w:type="dxa"/>
            </w:tcMar>
          </w:tcPr>
          <w:p>
            <w:r>
              <w:rPr>
                <w:b/>
                <w:color w:val="A04E32"/>
              </w:rPr>
              <w:t>Calendar note</w:t>
              <w:br/>
            </w:r>
            <w:r>
              <w:t>Source Reasoning Lab 4 due Friday, November 13.</w:t>
            </w:r>
          </w:p>
        </w:tc>
      </w:tr>
    </w:tbl>
    <w:p>
      <w:pPr>
        <w:spacing w:after="20"/>
      </w:pPr>
    </w:p>
    <w:p>
      <w:r>
        <w:rPr>
          <w:b/>
        </w:rPr>
        <w:t xml:space="preserve">Evidence/deliverable: </w:t>
      </w:r>
      <w:r>
        <w:t>Source Reasoning Lab 4 and Reading &amp; Reasoning Check 10.</w:t>
      </w:r>
    </w:p>
    <w:p>
      <w:r>
        <w:rPr>
          <w:b/>
        </w:rPr>
        <w:t xml:space="preserve">Instructor preparation: </w:t>
      </w:r>
      <w:r>
        <w:t>Open all links; select or place the scholarship excerpt on reserve; prepare accessible source copies; identify one likely misconception and one local connection.</w:t>
      </w:r>
    </w:p>
    <w:p>
      <w:pPr>
        <w:pStyle w:val="Heading2"/>
      </w:pPr>
      <w:r>
        <w:t>Week 13 · November 16–20, 2026: The Postwar West: Suburbs, Water, Nuclear Landscapes, and Red Power</w:t>
      </w:r>
    </w:p>
    <w:p>
      <w:r>
        <w:rPr>
          <w:b/>
        </w:rPr>
        <w:t xml:space="preserve">Inquiry: </w:t>
      </w:r>
      <w:r>
        <w:t>Who benefited from postwar western growth, and who bore its environmental and political costs?</w:t>
      </w:r>
    </w:p>
    <w:p>
      <w:r>
        <w:rPr>
          <w:b/>
        </w:rPr>
        <w:t xml:space="preserve">Content spine: </w:t>
      </w:r>
      <w:r>
        <w:t>Suburbanization and Sunbelt growth; Dams, water, energy, and nuclear sites; Relocation, termination, tribal sovereignty, and Red Power; Latino and Asian American civil rights</w:t>
      </w:r>
    </w:p>
    <w:p>
      <w:r>
        <w:rPr>
          <w:b/>
        </w:rPr>
        <w:t xml:space="preserve">Scholarship lens: </w:t>
      </w:r>
      <w:r>
        <w:t>Megan Black, The Global Interior (2018), selected excerpt; recent Western Historical Quarterly article chosen for local relevance.</w:t>
      </w:r>
    </w:p>
    <w:p>
      <w:r>
        <w:t>Tuesday/Thursday sequence:</w:t>
      </w:r>
    </w:p>
    <w:p>
      <w:r>
        <w:t>• Tuesday, November 17 — Suburbanization, Sunbelt growth, federal investment, and unequal benefits.</w:t>
      </w:r>
    </w:p>
    <w:p>
      <w:r>
        <w:t>• Thursday, November 19 — Dams, water, nuclear landscapes, termination, Red Power, and capstone consultation.</w:t>
      </w:r>
    </w:p>
    <w:tbl>
      <w:tblPr>
        <w:tblStyle w:val="TableGrid"/>
        <w:tblW w:type="auto" w:w="0"/>
        <w:tblLook w:firstColumn="1" w:firstRow="1" w:lastColumn="0" w:lastRow="0" w:noHBand="0" w:noVBand="1" w:val="04A0"/>
      </w:tblPr>
      <w:tblGrid>
        <w:gridCol w:w="10166"/>
      </w:tblGrid>
      <w:tr>
        <w:trPr>
          <w:cantSplit/>
          <w:tblHeader/>
        </w:trPr>
        <w:tc>
          <w:tcPr>
            <w:tcW w:type="dxa" w:w="10166"/>
            <w:shd w:fill="F7F3EA"/>
            <w:tcMar>
              <w:top w:w="110" w:type="dxa"/>
              <w:start w:w="140" w:type="dxa"/>
              <w:bottom w:w="110" w:type="dxa"/>
              <w:end w:w="140" w:type="dxa"/>
            </w:tcMar>
          </w:tcPr>
          <w:p>
            <w:r>
              <w:rPr>
                <w:b/>
                <w:color w:val="A04E32"/>
              </w:rPr>
              <w:t>Calendar note</w:t>
              <w:br/>
            </w:r>
            <w:r>
              <w:t>Capstone Interpretive Artifact due Friday, November 20.</w:t>
            </w:r>
          </w:p>
        </w:tc>
      </w:tr>
    </w:tbl>
    <w:p>
      <w:pPr>
        <w:spacing w:after="20"/>
      </w:pPr>
    </w:p>
    <w:p>
      <w:r>
        <w:rPr>
          <w:b/>
        </w:rPr>
        <w:t xml:space="preserve">Evidence/deliverable: </w:t>
      </w:r>
      <w:r>
        <w:t>Capstone Interpretive Artifact and Decision Log due Friday, November 20.</w:t>
      </w:r>
    </w:p>
    <w:p>
      <w:r>
        <w:rPr>
          <w:b/>
        </w:rPr>
        <w:t xml:space="preserve">Instructor preparation: </w:t>
      </w:r>
      <w:r>
        <w:t>Open all links; select or place the scholarship excerpt on reserve; prepare accessible source copies; identify one likely misconception and one local connection.</w:t>
      </w:r>
    </w:p>
    <w:p>
      <w:pPr>
        <w:pStyle w:val="Heading2"/>
      </w:pPr>
      <w:r>
        <w:t>Week 14 · November 23–27, 2026: Thanksgiving Break — No Campus Classes</w:t>
      </w:r>
    </w:p>
    <w:tbl>
      <w:tblPr>
        <w:tblStyle w:val="TableGrid"/>
        <w:tblW w:type="auto" w:w="0"/>
        <w:tblLook w:firstColumn="1" w:firstRow="1" w:lastColumn="0" w:lastRow="0" w:noHBand="0" w:noVBand="1" w:val="04A0"/>
      </w:tblPr>
      <w:tblGrid>
        <w:gridCol w:w="10166"/>
      </w:tblGrid>
      <w:tr>
        <w:trPr>
          <w:cantSplit/>
          <w:tblHeader/>
        </w:trPr>
        <w:tc>
          <w:tcPr>
            <w:tcW w:type="dxa" w:w="10166"/>
            <w:shd w:fill="F7F3EA"/>
            <w:tcMar>
              <w:top w:w="110" w:type="dxa"/>
              <w:start w:w="140" w:type="dxa"/>
              <w:bottom w:w="110" w:type="dxa"/>
              <w:end w:w="140" w:type="dxa"/>
            </w:tcMar>
          </w:tcPr>
          <w:p>
            <w:r>
              <w:rPr>
                <w:b/>
                <w:color w:val="A04E32"/>
              </w:rPr>
              <w:t>University break</w:t>
              <w:br/>
            </w:r>
            <w:r>
              <w:t>No campus classes and no new course work due. Classes resume Monday, November 30.</w:t>
            </w:r>
          </w:p>
        </w:tc>
      </w:tr>
    </w:tbl>
    <w:p>
      <w:pPr>
        <w:spacing w:after="20"/>
      </w:pPr>
    </w:p>
    <w:p>
      <w:r>
        <w:t>• Tuesday, November 24 — Thanksgiving Break — no campus classes.</w:t>
      </w:r>
    </w:p>
    <w:p>
      <w:r>
        <w:t>• Thursday, November 26 — Thanksgiving Break — no campus classes.</w:t>
      </w:r>
    </w:p>
    <w:p>
      <w:pPr>
        <w:pStyle w:val="Heading2"/>
      </w:pPr>
      <w:r>
        <w:t>Week 15 · November 30–December 4, 2026: The Contemporary West and the Politics of Memory</w:t>
      </w:r>
    </w:p>
    <w:p>
      <w:r>
        <w:rPr>
          <w:b/>
        </w:rPr>
        <w:t xml:space="preserve">Inquiry: </w:t>
      </w:r>
      <w:r>
        <w:t>How do sovereignty, migration, water, climate, and public memory continue to remake the West?</w:t>
      </w:r>
    </w:p>
    <w:p>
      <w:r>
        <w:rPr>
          <w:b/>
        </w:rPr>
        <w:t xml:space="preserve">Content spine: </w:t>
      </w:r>
      <w:r>
        <w:t>Tribal sovereignty and land return; Immigration and border enforcement; Water, fire, climate, and extraction; Monuments, museums, tourism, and the western myth</w:t>
      </w:r>
    </w:p>
    <w:p>
      <w:r>
        <w:rPr>
          <w:b/>
        </w:rPr>
        <w:t xml:space="preserve">Scholarship lens: </w:t>
      </w:r>
      <w:r>
        <w:t>One recent Western Historical Quarterly article selected to match student capstone themes.</w:t>
      </w:r>
    </w:p>
    <w:p>
      <w:r>
        <w:t>Tuesday/Thursday sequence:</w:t>
      </w:r>
    </w:p>
    <w:p>
      <w:r>
        <w:t>• Tuesday, December 1 — Contemporary sovereignty, migration, water, climate, extraction, and capstone showcase/defenses.</w:t>
      </w:r>
    </w:p>
    <w:p>
      <w:r>
        <w:t>• Thursday, December 3 — Politics of memory; capstone showcase/defenses; redraw the Week 1 map and synthesize the course.</w:t>
      </w:r>
    </w:p>
    <w:tbl>
      <w:tblPr>
        <w:tblStyle w:val="TableGrid"/>
        <w:tblW w:type="auto" w:w="0"/>
        <w:tblLook w:firstColumn="1" w:firstRow="1" w:lastColumn="0" w:lastRow="0" w:noHBand="0" w:noVBand="1" w:val="04A0"/>
      </w:tblPr>
      <w:tblGrid>
        <w:gridCol w:w="10166"/>
      </w:tblGrid>
      <w:tr>
        <w:trPr>
          <w:cantSplit/>
          <w:tblHeader/>
        </w:trPr>
        <w:tc>
          <w:tcPr>
            <w:tcW w:type="dxa" w:w="10166"/>
            <w:shd w:fill="F7F3EA"/>
            <w:tcMar>
              <w:top w:w="110" w:type="dxa"/>
              <w:start w:w="140" w:type="dxa"/>
              <w:bottom w:w="110" w:type="dxa"/>
              <w:end w:w="140" w:type="dxa"/>
            </w:tcMar>
          </w:tcPr>
          <w:p>
            <w:r>
              <w:rPr>
                <w:b/>
                <w:color w:val="A04E32"/>
              </w:rPr>
              <w:t>Calendar note</w:t>
              <w:br/>
            </w:r>
            <w:r>
              <w:t>Last regular meeting is Thursday, December 3. Final materials due Friday, December 4; finals run December 7–10.</w:t>
            </w:r>
          </w:p>
        </w:tc>
      </w:tr>
    </w:tbl>
    <w:p>
      <w:pPr>
        <w:spacing w:after="20"/>
      </w:pPr>
    </w:p>
    <w:p>
      <w:r>
        <w:rPr>
          <w:b/>
        </w:rPr>
        <w:t xml:space="preserve">Evidence/deliverable: </w:t>
      </w:r>
      <w:r>
        <w:t>Capstone showcases/defenses in class; final materials and Seminar Practice Portfolio due Friday, December 4.</w:t>
      </w:r>
    </w:p>
    <w:p>
      <w:r>
        <w:rPr>
          <w:b/>
        </w:rPr>
        <w:t xml:space="preserve">Instructor preparation: </w:t>
      </w:r>
      <w:r>
        <w:t>Open all links; select or place the scholarship excerpt on reserve; prepare accessible source copies; identify one likely misconception and one local connection.</w:t>
      </w:r>
    </w:p>
    <w:p>
      <w:pPr>
        <w:pStyle w:val="Heading1"/>
      </w:pPr>
      <w:r>
        <w:t>6. Assignment Packages</w:t>
      </w:r>
    </w:p>
    <w:p>
      <w:pPr>
        <w:pStyle w:val="Heading2"/>
      </w:pPr>
      <w:r>
        <w:t>Mapping the West: Boundary Argument and Defense</w:t>
      </w:r>
    </w:p>
    <w:p>
      <w:r>
        <w:rPr>
          <w:b/>
        </w:rPr>
        <w:t xml:space="preserve">Fall 2026 deadline: </w:t>
      </w:r>
      <w:r>
        <w:t>Friday, September 18, 2026, 11:59 pm Central</w:t>
      </w:r>
    </w:p>
    <w:p>
      <w:r>
        <w:rPr>
          <w:b/>
        </w:rPr>
        <w:t xml:space="preserve">Automatic grace period: </w:t>
      </w:r>
      <w:r>
        <w:t>through Sunday, September 20, 2026, 11:59 pm Central; no permission or penalty. Work closes after Sunday absent pre-approval or extenuating circumstances.</w:t>
      </w:r>
    </w:p>
    <w:p>
      <w:r>
        <w:rPr>
          <w:b/>
        </w:rPr>
        <w:t xml:space="preserve">Purpose: </w:t>
      </w:r>
      <w:r>
        <w:t>Make and defend a consequential argument about where, when, and for whom the American West exists.</w:t>
      </w:r>
    </w:p>
    <w:p>
      <w:r>
        <w:rPr>
          <w:b/>
        </w:rPr>
        <w:t xml:space="preserve">Task: </w:t>
      </w:r>
      <w:r>
        <w:t>Begin with an in-class boundary sketch and initial claim. Submit an annotated map or map comparison plus a 750–900 word rationale using at least two maps, two primary sources, and two scholars. Conclude with a four-minute live defense and the common Decision Record.</w:t>
      </w:r>
    </w:p>
    <w:p>
      <w:r>
        <w:rPr>
          <w:b/>
        </w:rPr>
        <w:t xml:space="preserve">Submission: </w:t>
      </w:r>
      <w:r>
        <w:t>Upload PDF or DOCX with accessible map caption/alt text; complete the defense in class.</w:t>
      </w:r>
    </w:p>
    <w:p>
      <w:r>
        <w:rPr>
          <w:b/>
        </w:rPr>
        <w:t xml:space="preserve">AI boundary: </w:t>
      </w:r>
      <w:r>
        <w:t>AI may test organization or clarity only after the in-class sketch. It may not create the historical argument, select the boundary, or be used during the defense.</w:t>
      </w:r>
    </w:p>
    <w:p>
      <w:r>
        <w:t>Criteria:</w:t>
      </w:r>
    </w:p>
    <w:p>
      <w:pPr>
        <w:keepLines/>
        <w:spacing w:after="30"/>
        <w:ind w:left="317" w:hanging="230"/>
      </w:pPr>
      <w:r>
        <w:rPr>
          <w:b/>
        </w:rPr>
        <w:t xml:space="preserve">• </w:t>
      </w:r>
      <w:r>
        <w:t>In-class boundary sketch and initial claim (20)</w:t>
      </w:r>
    </w:p>
    <w:p>
      <w:pPr>
        <w:keepLines/>
        <w:spacing w:after="30"/>
        <w:ind w:left="317" w:hanging="230"/>
      </w:pPr>
      <w:r>
        <w:rPr>
          <w:b/>
        </w:rPr>
        <w:t xml:space="preserve">• </w:t>
      </w:r>
      <w:r>
        <w:t>Annotated map and evidence-based rationale (50)</w:t>
      </w:r>
    </w:p>
    <w:p>
      <w:pPr>
        <w:keepLines/>
        <w:spacing w:after="30"/>
        <w:ind w:left="317" w:hanging="230"/>
      </w:pPr>
      <w:r>
        <w:rPr>
          <w:b/>
        </w:rPr>
        <w:t xml:space="preserve">• </w:t>
      </w:r>
      <w:r>
        <w:t>Four-minute oral defense (20)</w:t>
      </w:r>
    </w:p>
    <w:p>
      <w:pPr>
        <w:keepLines/>
        <w:spacing w:after="30"/>
        <w:ind w:left="317" w:hanging="230"/>
      </w:pPr>
      <w:r>
        <w:rPr>
          <w:b/>
        </w:rPr>
        <w:t xml:space="preserve">• </w:t>
      </w:r>
      <w:r>
        <w:t>Complete Decision Record (10)</w:t>
      </w:r>
    </w:p>
    <w:tbl>
      <w:tblPr>
        <w:tblStyle w:val="TableGrid"/>
        <w:tblW w:type="auto" w:w="0"/>
        <w:jc w:val="center"/>
        <w:tblLook w:firstColumn="1" w:firstRow="1" w:lastColumn="0" w:lastRow="0" w:noHBand="0" w:noVBand="1" w:val="04A0"/>
      </w:tblPr>
      <w:tblGrid>
        <w:gridCol w:w="5083"/>
        <w:gridCol w:w="5083"/>
      </w:tblGrid>
      <w:tr>
        <w:trPr>
          <w:tblHeader w:val="true"/>
          <w:cantSplit w:val="true"/>
        </w:trPr>
        <w:tc>
          <w:tcPr>
            <w:tcW w:type="dxa" w:w="1584"/>
            <w:shd w:fill="24364B"/>
            <w:vAlign w:val="center"/>
            <w:tcMar>
              <w:top w:w="60" w:type="dxa"/>
              <w:start w:w="80" w:type="dxa"/>
              <w:bottom w:w="60" w:type="dxa"/>
              <w:end w:w="80" w:type="dxa"/>
            </w:tcMar>
          </w:tcPr>
          <w:p>
            <w:r>
              <w:rPr>
                <w:b/>
                <w:color w:val="FFFFFF"/>
                <w:sz w:val="16"/>
              </w:rPr>
              <w:t>Level</w:t>
            </w:r>
          </w:p>
        </w:tc>
        <w:tc>
          <w:tcPr>
            <w:tcW w:type="dxa" w:w="9072"/>
            <w:shd w:fill="24364B"/>
            <w:vAlign w:val="center"/>
            <w:tcMar>
              <w:top w:w="60" w:type="dxa"/>
              <w:start w:w="80" w:type="dxa"/>
              <w:bottom w:w="60" w:type="dxa"/>
              <w:end w:w="80" w:type="dxa"/>
            </w:tcMar>
          </w:tcPr>
          <w:p>
            <w:r>
              <w:rPr>
                <w:b/>
                <w:color w:val="FFFFFF"/>
                <w:sz w:val="16"/>
              </w:rPr>
              <w:t>Descriptor</w:t>
            </w:r>
          </w:p>
        </w:tc>
      </w:tr>
      <w:tr>
        <w:trPr>
          <w:cantSplit w:val="true"/>
        </w:trPr>
        <w:tc>
          <w:tcPr>
            <w:tcW w:type="dxa" w:w="1584"/>
            <w:vAlign w:val="top"/>
            <w:tcMar>
              <w:top w:w="60" w:type="dxa"/>
              <w:start w:w="80" w:type="dxa"/>
              <w:bottom w:w="60" w:type="dxa"/>
              <w:end w:w="80" w:type="dxa"/>
            </w:tcMar>
          </w:tcPr>
          <w:p>
            <w:pPr>
              <w:spacing w:after="20"/>
            </w:pPr>
            <w:r>
              <w:rPr>
                <w:sz w:val="16"/>
              </w:rPr>
              <w:t>Exemplary</w:t>
            </w:r>
          </w:p>
        </w:tc>
        <w:tc>
          <w:tcPr>
            <w:tcW w:type="dxa" w:w="9072"/>
            <w:vAlign w:val="top"/>
            <w:tcMar>
              <w:top w:w="60" w:type="dxa"/>
              <w:start w:w="80" w:type="dxa"/>
              <w:bottom w:w="60" w:type="dxa"/>
              <w:end w:w="80" w:type="dxa"/>
            </w:tcMar>
          </w:tcPr>
          <w:p>
            <w:pPr>
              <w:spacing w:after="20"/>
            </w:pPr>
            <w:r>
              <w:rPr>
                <w:sz w:val="16"/>
              </w:rPr>
              <w:t>Precise, persuasive, well-evidenced, attentive to source limits, and audience-ready.</w:t>
            </w:r>
          </w:p>
        </w:tc>
      </w:tr>
      <w:tr>
        <w:trPr>
          <w:cantSplit w:val="true"/>
        </w:trPr>
        <w:tc>
          <w:tcPr>
            <w:tcW w:type="dxa" w:w="1584"/>
            <w:vAlign w:val="top"/>
            <w:shd w:fill="F7F3EA"/>
            <w:tcMar>
              <w:top w:w="60" w:type="dxa"/>
              <w:start w:w="80" w:type="dxa"/>
              <w:bottom w:w="60" w:type="dxa"/>
              <w:end w:w="80" w:type="dxa"/>
            </w:tcMar>
          </w:tcPr>
          <w:p>
            <w:pPr>
              <w:spacing w:after="20"/>
            </w:pPr>
            <w:r>
              <w:rPr>
                <w:sz w:val="16"/>
              </w:rPr>
              <w:t>Proficient</w:t>
            </w:r>
          </w:p>
        </w:tc>
        <w:tc>
          <w:tcPr>
            <w:tcW w:type="dxa" w:w="9072"/>
            <w:vAlign w:val="top"/>
            <w:shd w:fill="F7F3EA"/>
            <w:tcMar>
              <w:top w:w="60" w:type="dxa"/>
              <w:start w:w="80" w:type="dxa"/>
              <w:bottom w:w="60" w:type="dxa"/>
              <w:end w:w="80" w:type="dxa"/>
            </w:tcMar>
          </w:tcPr>
          <w:p>
            <w:pPr>
              <w:spacing w:after="20"/>
            </w:pPr>
            <w:r>
              <w:rPr>
                <w:sz w:val="16"/>
              </w:rPr>
              <w:t>Clear and accurate with relevant evidence; minor gaps do not undermine the interpretation.</w:t>
            </w:r>
          </w:p>
        </w:tc>
      </w:tr>
      <w:tr>
        <w:trPr>
          <w:cantSplit w:val="true"/>
        </w:trPr>
        <w:tc>
          <w:tcPr>
            <w:tcW w:type="dxa" w:w="1584"/>
            <w:vAlign w:val="top"/>
            <w:tcMar>
              <w:top w:w="60" w:type="dxa"/>
              <w:start w:w="80" w:type="dxa"/>
              <w:bottom w:w="60" w:type="dxa"/>
              <w:end w:w="80" w:type="dxa"/>
            </w:tcMar>
          </w:tcPr>
          <w:p>
            <w:pPr>
              <w:spacing w:after="20"/>
            </w:pPr>
            <w:r>
              <w:rPr>
                <w:sz w:val="16"/>
              </w:rPr>
              <w:t>Developing</w:t>
            </w:r>
          </w:p>
        </w:tc>
        <w:tc>
          <w:tcPr>
            <w:tcW w:type="dxa" w:w="9072"/>
            <w:vAlign w:val="top"/>
            <w:tcMar>
              <w:top w:w="60" w:type="dxa"/>
              <w:start w:w="80" w:type="dxa"/>
              <w:bottom w:w="60" w:type="dxa"/>
              <w:end w:w="80" w:type="dxa"/>
            </w:tcMar>
          </w:tcPr>
          <w:p>
            <w:pPr>
              <w:spacing w:after="20"/>
            </w:pPr>
            <w:r>
              <w:rPr>
                <w:sz w:val="16"/>
              </w:rPr>
              <w:t>A plausible direction with uneven evidence, context, synthesis, or communication.</w:t>
            </w:r>
          </w:p>
        </w:tc>
      </w:tr>
      <w:tr>
        <w:trPr>
          <w:cantSplit w:val="true"/>
        </w:trPr>
        <w:tc>
          <w:tcPr>
            <w:tcW w:type="dxa" w:w="1584"/>
            <w:vAlign w:val="top"/>
            <w:shd w:fill="F7F3EA"/>
            <w:tcMar>
              <w:top w:w="60" w:type="dxa"/>
              <w:start w:w="80" w:type="dxa"/>
              <w:bottom w:w="60" w:type="dxa"/>
              <w:end w:w="80" w:type="dxa"/>
            </w:tcMar>
          </w:tcPr>
          <w:p>
            <w:pPr>
              <w:spacing w:after="20"/>
            </w:pPr>
            <w:r>
              <w:rPr>
                <w:sz w:val="16"/>
              </w:rPr>
              <w:t>Beginning</w:t>
            </w:r>
          </w:p>
        </w:tc>
        <w:tc>
          <w:tcPr>
            <w:tcW w:type="dxa" w:w="9072"/>
            <w:vAlign w:val="top"/>
            <w:shd w:fill="F7F3EA"/>
            <w:tcMar>
              <w:top w:w="60" w:type="dxa"/>
              <w:start w:w="80" w:type="dxa"/>
              <w:bottom w:w="60" w:type="dxa"/>
              <w:end w:w="80" w:type="dxa"/>
            </w:tcMar>
          </w:tcPr>
          <w:p>
            <w:pPr>
              <w:spacing w:after="20"/>
            </w:pPr>
            <w:r>
              <w:rPr>
                <w:sz w:val="16"/>
              </w:rPr>
              <w:t>Minimal, inaccurate, unsupported, incomplete, or not yet aligned with the task.</w:t>
            </w:r>
          </w:p>
        </w:tc>
      </w:tr>
    </w:tbl>
    <w:p>
      <w:pPr>
        <w:spacing w:after="20"/>
      </w:pPr>
    </w:p>
    <w:p>
      <w:pPr>
        <w:pStyle w:val="Heading2"/>
      </w:pPr>
      <w:r>
        <w:t>Source Reasoning Lab 1: Treaty, Sovereignty, and Translation</w:t>
      </w:r>
    </w:p>
    <w:p>
      <w:r>
        <w:rPr>
          <w:b/>
        </w:rPr>
        <w:t xml:space="preserve">Fall 2026 deadline: </w:t>
      </w:r>
      <w:r>
        <w:t>Friday, September 25, 2026, 11:59 pm Central</w:t>
      </w:r>
    </w:p>
    <w:p>
      <w:r>
        <w:rPr>
          <w:b/>
        </w:rPr>
        <w:t xml:space="preserve">Automatic grace period: </w:t>
      </w:r>
      <w:r>
        <w:t>through Sunday, September 27, 2026, 11:59 pm Central; no permission or penalty. Work closes after Sunday absent pre-approval or extenuating circumstances.</w:t>
      </w:r>
    </w:p>
    <w:p>
      <w:r>
        <w:rPr>
          <w:b/>
        </w:rPr>
        <w:t xml:space="preserve">Purpose: </w:t>
      </w:r>
      <w:r>
        <w:t>Practice close reading of a treaty as a negotiated, translated, and contested political instrument.</w:t>
      </w:r>
    </w:p>
    <w:p>
      <w:r>
        <w:rPr>
          <w:b/>
        </w:rPr>
        <w:t xml:space="preserve">Task: </w:t>
      </w:r>
      <w:r>
        <w:t>Complete the source annotation in class, then write a 450–600 word memo that treats the treaty as a negotiated, translated, and contested political instrument. Finish an unseen transfer question and the common Decision Record.</w:t>
      </w:r>
    </w:p>
    <w:p>
      <w:r>
        <w:rPr>
          <w:b/>
        </w:rPr>
        <w:t xml:space="preserve">Submission: </w:t>
      </w:r>
      <w:r>
        <w:t>Text entry or file upload.</w:t>
      </w:r>
    </w:p>
    <w:p>
      <w:r>
        <w:rPr>
          <w:b/>
        </w:rPr>
        <w:t xml:space="preserve">AI boundary: </w:t>
      </w:r>
      <w:r>
        <w:t>No AI during annotation or transfer. Afterward, clarity feedback is allowed; generated treaty analysis or translation is not.</w:t>
      </w:r>
    </w:p>
    <w:p>
      <w:r>
        <w:t>Criteria:</w:t>
      </w:r>
    </w:p>
    <w:p>
      <w:pPr>
        <w:keepLines/>
        <w:spacing w:after="30"/>
        <w:ind w:left="317" w:hanging="230"/>
      </w:pPr>
      <w:r>
        <w:rPr>
          <w:b/>
        </w:rPr>
        <w:t xml:space="preserve">• </w:t>
      </w:r>
      <w:r>
        <w:t>In-class source annotation (8)</w:t>
      </w:r>
    </w:p>
    <w:p>
      <w:pPr>
        <w:keepLines/>
        <w:spacing w:after="30"/>
        <w:ind w:left="317" w:hanging="230"/>
      </w:pPr>
      <w:r>
        <w:rPr>
          <w:b/>
        </w:rPr>
        <w:t xml:space="preserve">• </w:t>
      </w:r>
      <w:r>
        <w:t>Evidence-based reasoning memo (10)</w:t>
      </w:r>
    </w:p>
    <w:p>
      <w:pPr>
        <w:keepLines/>
        <w:spacing w:after="30"/>
        <w:ind w:left="317" w:hanging="230"/>
      </w:pPr>
      <w:r>
        <w:rPr>
          <w:b/>
        </w:rPr>
        <w:t xml:space="preserve">• </w:t>
      </w:r>
      <w:r>
        <w:t>Unseen transfer question (5)</w:t>
      </w:r>
    </w:p>
    <w:p>
      <w:pPr>
        <w:keepLines/>
        <w:spacing w:after="30"/>
        <w:ind w:left="317" w:hanging="230"/>
      </w:pPr>
      <w:r>
        <w:rPr>
          <w:b/>
        </w:rPr>
        <w:t xml:space="preserve">• </w:t>
      </w:r>
      <w:r>
        <w:t>Complete Decision Record (2)</w:t>
      </w:r>
    </w:p>
    <w:tbl>
      <w:tblPr>
        <w:tblStyle w:val="TableGrid"/>
        <w:tblW w:type="auto" w:w="0"/>
        <w:jc w:val="center"/>
        <w:tblLook w:firstColumn="1" w:firstRow="1" w:lastColumn="0" w:lastRow="0" w:noHBand="0" w:noVBand="1" w:val="04A0"/>
      </w:tblPr>
      <w:tblGrid>
        <w:gridCol w:w="5083"/>
        <w:gridCol w:w="5083"/>
      </w:tblGrid>
      <w:tr>
        <w:trPr>
          <w:tblHeader w:val="true"/>
          <w:cantSplit w:val="true"/>
        </w:trPr>
        <w:tc>
          <w:tcPr>
            <w:tcW w:type="dxa" w:w="1584"/>
            <w:shd w:fill="24364B"/>
            <w:vAlign w:val="center"/>
            <w:tcMar>
              <w:top w:w="60" w:type="dxa"/>
              <w:start w:w="80" w:type="dxa"/>
              <w:bottom w:w="60" w:type="dxa"/>
              <w:end w:w="80" w:type="dxa"/>
            </w:tcMar>
          </w:tcPr>
          <w:p>
            <w:r>
              <w:rPr>
                <w:b/>
                <w:color w:val="FFFFFF"/>
                <w:sz w:val="16"/>
              </w:rPr>
              <w:t>Level</w:t>
            </w:r>
          </w:p>
        </w:tc>
        <w:tc>
          <w:tcPr>
            <w:tcW w:type="dxa" w:w="9072"/>
            <w:shd w:fill="24364B"/>
            <w:vAlign w:val="center"/>
            <w:tcMar>
              <w:top w:w="60" w:type="dxa"/>
              <w:start w:w="80" w:type="dxa"/>
              <w:bottom w:w="60" w:type="dxa"/>
              <w:end w:w="80" w:type="dxa"/>
            </w:tcMar>
          </w:tcPr>
          <w:p>
            <w:r>
              <w:rPr>
                <w:b/>
                <w:color w:val="FFFFFF"/>
                <w:sz w:val="16"/>
              </w:rPr>
              <w:t>Descriptor</w:t>
            </w:r>
          </w:p>
        </w:tc>
      </w:tr>
      <w:tr>
        <w:trPr>
          <w:cantSplit w:val="true"/>
        </w:trPr>
        <w:tc>
          <w:tcPr>
            <w:tcW w:type="dxa" w:w="1584"/>
            <w:vAlign w:val="top"/>
            <w:tcMar>
              <w:top w:w="60" w:type="dxa"/>
              <w:start w:w="80" w:type="dxa"/>
              <w:bottom w:w="60" w:type="dxa"/>
              <w:end w:w="80" w:type="dxa"/>
            </w:tcMar>
          </w:tcPr>
          <w:p>
            <w:pPr>
              <w:spacing w:after="20"/>
            </w:pPr>
            <w:r>
              <w:rPr>
                <w:sz w:val="16"/>
              </w:rPr>
              <w:t>Exemplary</w:t>
            </w:r>
          </w:p>
        </w:tc>
        <w:tc>
          <w:tcPr>
            <w:tcW w:type="dxa" w:w="9072"/>
            <w:vAlign w:val="top"/>
            <w:tcMar>
              <w:top w:w="60" w:type="dxa"/>
              <w:start w:w="80" w:type="dxa"/>
              <w:bottom w:w="60" w:type="dxa"/>
              <w:end w:w="80" w:type="dxa"/>
            </w:tcMar>
          </w:tcPr>
          <w:p>
            <w:pPr>
              <w:spacing w:after="20"/>
            </w:pPr>
            <w:r>
              <w:rPr>
                <w:sz w:val="16"/>
              </w:rPr>
              <w:t>Precise, persuasive, well-evidenced, attentive to source limits, and audience-ready.</w:t>
            </w:r>
          </w:p>
        </w:tc>
      </w:tr>
      <w:tr>
        <w:trPr>
          <w:cantSplit w:val="true"/>
        </w:trPr>
        <w:tc>
          <w:tcPr>
            <w:tcW w:type="dxa" w:w="1584"/>
            <w:vAlign w:val="top"/>
            <w:shd w:fill="F7F3EA"/>
            <w:tcMar>
              <w:top w:w="60" w:type="dxa"/>
              <w:start w:w="80" w:type="dxa"/>
              <w:bottom w:w="60" w:type="dxa"/>
              <w:end w:w="80" w:type="dxa"/>
            </w:tcMar>
          </w:tcPr>
          <w:p>
            <w:pPr>
              <w:spacing w:after="20"/>
            </w:pPr>
            <w:r>
              <w:rPr>
                <w:sz w:val="16"/>
              </w:rPr>
              <w:t>Proficient</w:t>
            </w:r>
          </w:p>
        </w:tc>
        <w:tc>
          <w:tcPr>
            <w:tcW w:type="dxa" w:w="9072"/>
            <w:vAlign w:val="top"/>
            <w:shd w:fill="F7F3EA"/>
            <w:tcMar>
              <w:top w:w="60" w:type="dxa"/>
              <w:start w:w="80" w:type="dxa"/>
              <w:bottom w:w="60" w:type="dxa"/>
              <w:end w:w="80" w:type="dxa"/>
            </w:tcMar>
          </w:tcPr>
          <w:p>
            <w:pPr>
              <w:spacing w:after="20"/>
            </w:pPr>
            <w:r>
              <w:rPr>
                <w:sz w:val="16"/>
              </w:rPr>
              <w:t>Clear and accurate with relevant evidence; minor gaps do not undermine the interpretation.</w:t>
            </w:r>
          </w:p>
        </w:tc>
      </w:tr>
      <w:tr>
        <w:trPr>
          <w:cantSplit w:val="true"/>
        </w:trPr>
        <w:tc>
          <w:tcPr>
            <w:tcW w:type="dxa" w:w="1584"/>
            <w:vAlign w:val="top"/>
            <w:tcMar>
              <w:top w:w="60" w:type="dxa"/>
              <w:start w:w="80" w:type="dxa"/>
              <w:bottom w:w="60" w:type="dxa"/>
              <w:end w:w="80" w:type="dxa"/>
            </w:tcMar>
          </w:tcPr>
          <w:p>
            <w:pPr>
              <w:spacing w:after="20"/>
            </w:pPr>
            <w:r>
              <w:rPr>
                <w:sz w:val="16"/>
              </w:rPr>
              <w:t>Developing</w:t>
            </w:r>
          </w:p>
        </w:tc>
        <w:tc>
          <w:tcPr>
            <w:tcW w:type="dxa" w:w="9072"/>
            <w:vAlign w:val="top"/>
            <w:tcMar>
              <w:top w:w="60" w:type="dxa"/>
              <w:start w:w="80" w:type="dxa"/>
              <w:bottom w:w="60" w:type="dxa"/>
              <w:end w:w="80" w:type="dxa"/>
            </w:tcMar>
          </w:tcPr>
          <w:p>
            <w:pPr>
              <w:spacing w:after="20"/>
            </w:pPr>
            <w:r>
              <w:rPr>
                <w:sz w:val="16"/>
              </w:rPr>
              <w:t>A plausible direction with uneven evidence, context, synthesis, or communication.</w:t>
            </w:r>
          </w:p>
        </w:tc>
      </w:tr>
      <w:tr>
        <w:trPr>
          <w:cantSplit w:val="true"/>
        </w:trPr>
        <w:tc>
          <w:tcPr>
            <w:tcW w:type="dxa" w:w="1584"/>
            <w:vAlign w:val="top"/>
            <w:shd w:fill="F7F3EA"/>
            <w:tcMar>
              <w:top w:w="60" w:type="dxa"/>
              <w:start w:w="80" w:type="dxa"/>
              <w:bottom w:w="60" w:type="dxa"/>
              <w:end w:w="80" w:type="dxa"/>
            </w:tcMar>
          </w:tcPr>
          <w:p>
            <w:pPr>
              <w:spacing w:after="20"/>
            </w:pPr>
            <w:r>
              <w:rPr>
                <w:sz w:val="16"/>
              </w:rPr>
              <w:t>Beginning</w:t>
            </w:r>
          </w:p>
        </w:tc>
        <w:tc>
          <w:tcPr>
            <w:tcW w:type="dxa" w:w="9072"/>
            <w:vAlign w:val="top"/>
            <w:shd w:fill="F7F3EA"/>
            <w:tcMar>
              <w:top w:w="60" w:type="dxa"/>
              <w:start w:w="80" w:type="dxa"/>
              <w:bottom w:w="60" w:type="dxa"/>
              <w:end w:w="80" w:type="dxa"/>
            </w:tcMar>
          </w:tcPr>
          <w:p>
            <w:pPr>
              <w:spacing w:after="20"/>
            </w:pPr>
            <w:r>
              <w:rPr>
                <w:sz w:val="16"/>
              </w:rPr>
              <w:t>Minimal, inaccurate, unsupported, incomplete, or not yet aligned with the task.</w:t>
            </w:r>
          </w:p>
        </w:tc>
      </w:tr>
    </w:tbl>
    <w:p>
      <w:pPr>
        <w:spacing w:after="20"/>
      </w:pPr>
    </w:p>
    <w:p>
      <w:pPr>
        <w:pStyle w:val="Heading2"/>
      </w:pPr>
      <w:r>
        <w:t>Source Reasoning Lab 2: Mobility, Risk, and Environment</w:t>
      </w:r>
    </w:p>
    <w:p>
      <w:r>
        <w:rPr>
          <w:b/>
        </w:rPr>
        <w:t xml:space="preserve">Fall 2026 deadline: </w:t>
      </w:r>
      <w:r>
        <w:t>Friday, October 2, 2026, 11:59 pm Central</w:t>
      </w:r>
    </w:p>
    <w:p>
      <w:r>
        <w:rPr>
          <w:b/>
        </w:rPr>
        <w:t xml:space="preserve">Automatic grace period: </w:t>
      </w:r>
      <w:r>
        <w:t>through Sunday, October 4, 2026, 11:59 pm Central; no permission or penalty. Work closes after Sunday absent pre-approval or extenuating circumstances.</w:t>
      </w:r>
    </w:p>
    <w:p>
      <w:r>
        <w:rPr>
          <w:b/>
        </w:rPr>
        <w:t xml:space="preserve">Purpose: </w:t>
      </w:r>
      <w:r>
        <w:t>Use diaries, material evidence, and quantitative traces to reconstruct mobility without treating migration as inevitable.</w:t>
      </w:r>
    </w:p>
    <w:p>
      <w:r>
        <w:rPr>
          <w:b/>
        </w:rPr>
        <w:t xml:space="preserve">Task: </w:t>
      </w:r>
      <w:r>
        <w:t>Complete a comparative annotation in class, then write a 450–600 word memo using two migrant accounts and one map or quantitative source. Finish an unseen transfer question and the common Decision Record.</w:t>
      </w:r>
    </w:p>
    <w:p>
      <w:r>
        <w:rPr>
          <w:b/>
        </w:rPr>
        <w:t xml:space="preserve">Submission: </w:t>
      </w:r>
      <w:r>
        <w:t>Text entry or file upload.</w:t>
      </w:r>
    </w:p>
    <w:p>
      <w:r>
        <w:rPr>
          <w:b/>
        </w:rPr>
        <w:t xml:space="preserve">AI boundary: </w:t>
      </w:r>
      <w:r>
        <w:t>No AI during annotation or transfer. Organization feedback is allowed only after you draft the reasoning sequence.</w:t>
      </w:r>
    </w:p>
    <w:p>
      <w:r>
        <w:t>Criteria:</w:t>
      </w:r>
    </w:p>
    <w:p>
      <w:pPr>
        <w:keepLines/>
        <w:spacing w:after="30"/>
        <w:ind w:left="317" w:hanging="230"/>
      </w:pPr>
      <w:r>
        <w:rPr>
          <w:b/>
        </w:rPr>
        <w:t xml:space="preserve">• </w:t>
      </w:r>
      <w:r>
        <w:t>Comparative in-class annotation (8)</w:t>
      </w:r>
    </w:p>
    <w:p>
      <w:pPr>
        <w:keepLines/>
        <w:spacing w:after="30"/>
        <w:ind w:left="317" w:hanging="230"/>
      </w:pPr>
      <w:r>
        <w:rPr>
          <w:b/>
        </w:rPr>
        <w:t xml:space="preserve">• </w:t>
      </w:r>
      <w:r>
        <w:t>Evidence-based reasoning memo (10)</w:t>
      </w:r>
    </w:p>
    <w:p>
      <w:pPr>
        <w:keepLines/>
        <w:spacing w:after="30"/>
        <w:ind w:left="317" w:hanging="230"/>
      </w:pPr>
      <w:r>
        <w:rPr>
          <w:b/>
        </w:rPr>
        <w:t xml:space="preserve">• </w:t>
      </w:r>
      <w:r>
        <w:t>Unseen transfer question (5)</w:t>
      </w:r>
    </w:p>
    <w:p>
      <w:pPr>
        <w:keepLines/>
        <w:spacing w:after="30"/>
        <w:ind w:left="317" w:hanging="230"/>
      </w:pPr>
      <w:r>
        <w:rPr>
          <w:b/>
        </w:rPr>
        <w:t xml:space="preserve">• </w:t>
      </w:r>
      <w:r>
        <w:t>Complete Decision Record (2)</w:t>
      </w:r>
    </w:p>
    <w:tbl>
      <w:tblPr>
        <w:tblStyle w:val="TableGrid"/>
        <w:tblW w:type="auto" w:w="0"/>
        <w:jc w:val="center"/>
        <w:tblLook w:firstColumn="1" w:firstRow="1" w:lastColumn="0" w:lastRow="0" w:noHBand="0" w:noVBand="1" w:val="04A0"/>
      </w:tblPr>
      <w:tblGrid>
        <w:gridCol w:w="5083"/>
        <w:gridCol w:w="5083"/>
      </w:tblGrid>
      <w:tr>
        <w:trPr>
          <w:tblHeader w:val="true"/>
          <w:cantSplit w:val="true"/>
        </w:trPr>
        <w:tc>
          <w:tcPr>
            <w:tcW w:type="dxa" w:w="1584"/>
            <w:shd w:fill="24364B"/>
            <w:vAlign w:val="center"/>
            <w:tcMar>
              <w:top w:w="60" w:type="dxa"/>
              <w:start w:w="80" w:type="dxa"/>
              <w:bottom w:w="60" w:type="dxa"/>
              <w:end w:w="80" w:type="dxa"/>
            </w:tcMar>
          </w:tcPr>
          <w:p>
            <w:r>
              <w:rPr>
                <w:b/>
                <w:color w:val="FFFFFF"/>
                <w:sz w:val="16"/>
              </w:rPr>
              <w:t>Level</w:t>
            </w:r>
          </w:p>
        </w:tc>
        <w:tc>
          <w:tcPr>
            <w:tcW w:type="dxa" w:w="9072"/>
            <w:shd w:fill="24364B"/>
            <w:vAlign w:val="center"/>
            <w:tcMar>
              <w:top w:w="60" w:type="dxa"/>
              <w:start w:w="80" w:type="dxa"/>
              <w:bottom w:w="60" w:type="dxa"/>
              <w:end w:w="80" w:type="dxa"/>
            </w:tcMar>
          </w:tcPr>
          <w:p>
            <w:r>
              <w:rPr>
                <w:b/>
                <w:color w:val="FFFFFF"/>
                <w:sz w:val="16"/>
              </w:rPr>
              <w:t>Descriptor</w:t>
            </w:r>
          </w:p>
        </w:tc>
      </w:tr>
      <w:tr>
        <w:trPr>
          <w:cantSplit w:val="true"/>
        </w:trPr>
        <w:tc>
          <w:tcPr>
            <w:tcW w:type="dxa" w:w="1584"/>
            <w:vAlign w:val="top"/>
            <w:tcMar>
              <w:top w:w="60" w:type="dxa"/>
              <w:start w:w="80" w:type="dxa"/>
              <w:bottom w:w="60" w:type="dxa"/>
              <w:end w:w="80" w:type="dxa"/>
            </w:tcMar>
          </w:tcPr>
          <w:p>
            <w:pPr>
              <w:spacing w:after="20"/>
            </w:pPr>
            <w:r>
              <w:rPr>
                <w:sz w:val="16"/>
              </w:rPr>
              <w:t>Exemplary</w:t>
            </w:r>
          </w:p>
        </w:tc>
        <w:tc>
          <w:tcPr>
            <w:tcW w:type="dxa" w:w="9072"/>
            <w:vAlign w:val="top"/>
            <w:tcMar>
              <w:top w:w="60" w:type="dxa"/>
              <w:start w:w="80" w:type="dxa"/>
              <w:bottom w:w="60" w:type="dxa"/>
              <w:end w:w="80" w:type="dxa"/>
            </w:tcMar>
          </w:tcPr>
          <w:p>
            <w:pPr>
              <w:spacing w:after="20"/>
            </w:pPr>
            <w:r>
              <w:rPr>
                <w:sz w:val="16"/>
              </w:rPr>
              <w:t>Precise, persuasive, well-evidenced, attentive to source limits, and audience-ready.</w:t>
            </w:r>
          </w:p>
        </w:tc>
      </w:tr>
      <w:tr>
        <w:trPr>
          <w:cantSplit w:val="true"/>
        </w:trPr>
        <w:tc>
          <w:tcPr>
            <w:tcW w:type="dxa" w:w="1584"/>
            <w:vAlign w:val="top"/>
            <w:shd w:fill="F7F3EA"/>
            <w:tcMar>
              <w:top w:w="60" w:type="dxa"/>
              <w:start w:w="80" w:type="dxa"/>
              <w:bottom w:w="60" w:type="dxa"/>
              <w:end w:w="80" w:type="dxa"/>
            </w:tcMar>
          </w:tcPr>
          <w:p>
            <w:pPr>
              <w:spacing w:after="20"/>
            </w:pPr>
            <w:r>
              <w:rPr>
                <w:sz w:val="16"/>
              </w:rPr>
              <w:t>Proficient</w:t>
            </w:r>
          </w:p>
        </w:tc>
        <w:tc>
          <w:tcPr>
            <w:tcW w:type="dxa" w:w="9072"/>
            <w:vAlign w:val="top"/>
            <w:shd w:fill="F7F3EA"/>
            <w:tcMar>
              <w:top w:w="60" w:type="dxa"/>
              <w:start w:w="80" w:type="dxa"/>
              <w:bottom w:w="60" w:type="dxa"/>
              <w:end w:w="80" w:type="dxa"/>
            </w:tcMar>
          </w:tcPr>
          <w:p>
            <w:pPr>
              <w:spacing w:after="20"/>
            </w:pPr>
            <w:r>
              <w:rPr>
                <w:sz w:val="16"/>
              </w:rPr>
              <w:t>Clear and accurate with relevant evidence; minor gaps do not undermine the interpretation.</w:t>
            </w:r>
          </w:p>
        </w:tc>
      </w:tr>
      <w:tr>
        <w:trPr>
          <w:cantSplit w:val="true"/>
        </w:trPr>
        <w:tc>
          <w:tcPr>
            <w:tcW w:type="dxa" w:w="1584"/>
            <w:vAlign w:val="top"/>
            <w:tcMar>
              <w:top w:w="60" w:type="dxa"/>
              <w:start w:w="80" w:type="dxa"/>
              <w:bottom w:w="60" w:type="dxa"/>
              <w:end w:w="80" w:type="dxa"/>
            </w:tcMar>
          </w:tcPr>
          <w:p>
            <w:pPr>
              <w:spacing w:after="20"/>
            </w:pPr>
            <w:r>
              <w:rPr>
                <w:sz w:val="16"/>
              </w:rPr>
              <w:t>Developing</w:t>
            </w:r>
          </w:p>
        </w:tc>
        <w:tc>
          <w:tcPr>
            <w:tcW w:type="dxa" w:w="9072"/>
            <w:vAlign w:val="top"/>
            <w:tcMar>
              <w:top w:w="60" w:type="dxa"/>
              <w:start w:w="80" w:type="dxa"/>
              <w:bottom w:w="60" w:type="dxa"/>
              <w:end w:w="80" w:type="dxa"/>
            </w:tcMar>
          </w:tcPr>
          <w:p>
            <w:pPr>
              <w:spacing w:after="20"/>
            </w:pPr>
            <w:r>
              <w:rPr>
                <w:sz w:val="16"/>
              </w:rPr>
              <w:t>A plausible direction with uneven evidence, context, synthesis, or communication.</w:t>
            </w:r>
          </w:p>
        </w:tc>
      </w:tr>
      <w:tr>
        <w:trPr>
          <w:cantSplit w:val="true"/>
        </w:trPr>
        <w:tc>
          <w:tcPr>
            <w:tcW w:type="dxa" w:w="1584"/>
            <w:vAlign w:val="top"/>
            <w:shd w:fill="F7F3EA"/>
            <w:tcMar>
              <w:top w:w="60" w:type="dxa"/>
              <w:start w:w="80" w:type="dxa"/>
              <w:bottom w:w="60" w:type="dxa"/>
              <w:end w:w="80" w:type="dxa"/>
            </w:tcMar>
          </w:tcPr>
          <w:p>
            <w:pPr>
              <w:spacing w:after="20"/>
            </w:pPr>
            <w:r>
              <w:rPr>
                <w:sz w:val="16"/>
              </w:rPr>
              <w:t>Beginning</w:t>
            </w:r>
          </w:p>
        </w:tc>
        <w:tc>
          <w:tcPr>
            <w:tcW w:type="dxa" w:w="9072"/>
            <w:vAlign w:val="top"/>
            <w:shd w:fill="F7F3EA"/>
            <w:tcMar>
              <w:top w:w="60" w:type="dxa"/>
              <w:start w:w="80" w:type="dxa"/>
              <w:bottom w:w="60" w:type="dxa"/>
              <w:end w:w="80" w:type="dxa"/>
            </w:tcMar>
          </w:tcPr>
          <w:p>
            <w:pPr>
              <w:spacing w:after="20"/>
            </w:pPr>
            <w:r>
              <w:rPr>
                <w:sz w:val="16"/>
              </w:rPr>
              <w:t>Minimal, inaccurate, unsupported, incomplete, or not yet aligned with the task.</w:t>
            </w:r>
          </w:p>
        </w:tc>
      </w:tr>
    </w:tbl>
    <w:p>
      <w:pPr>
        <w:spacing w:after="20"/>
      </w:pPr>
    </w:p>
    <w:p>
      <w:pPr>
        <w:pStyle w:val="Heading2"/>
      </w:pPr>
      <w:r>
        <w:t>Source Reasoning Lab 3: Newspaper, Race, and Public Narrative</w:t>
      </w:r>
    </w:p>
    <w:p>
      <w:r>
        <w:rPr>
          <w:b/>
        </w:rPr>
        <w:t xml:space="preserve">Fall 2026 deadline: </w:t>
      </w:r>
      <w:r>
        <w:t>Friday, October 30, 2026, 11:59 pm Central</w:t>
      </w:r>
    </w:p>
    <w:p>
      <w:r>
        <w:rPr>
          <w:b/>
        </w:rPr>
        <w:t xml:space="preserve">Automatic grace period: </w:t>
      </w:r>
      <w:r>
        <w:t>through Sunday, November 1, 2026, 11:59 pm Central; no permission or penalty. Work closes after Sunday absent pre-approval or extenuating circumstances.</w:t>
      </w:r>
    </w:p>
    <w:p>
      <w:r>
        <w:rPr>
          <w:b/>
        </w:rPr>
        <w:t xml:space="preserve">Purpose: </w:t>
      </w:r>
      <w:r>
        <w:t>Interrogate how print culture produced racial knowledge and normalized or challenged violence.</w:t>
      </w:r>
    </w:p>
    <w:p>
      <w:r>
        <w:rPr>
          <w:b/>
        </w:rPr>
        <w:t xml:space="preserve">Task: </w:t>
      </w:r>
      <w:r>
        <w:t>Complete a close reading of two newspaper items in class, then write a 500–650 word comparison focused on audience, language, omission, corroboration, and ethical quotation. Finish an unseen transfer question and the common Decision Record.</w:t>
      </w:r>
    </w:p>
    <w:p>
      <w:r>
        <w:rPr>
          <w:b/>
        </w:rPr>
        <w:t xml:space="preserve">Submission: </w:t>
      </w:r>
      <w:r>
        <w:t>File upload with stable links or image citations.</w:t>
      </w:r>
    </w:p>
    <w:p>
      <w:r>
        <w:rPr>
          <w:b/>
        </w:rPr>
        <w:t xml:space="preserve">AI boundary: </w:t>
      </w:r>
      <w:r>
        <w:t>AI may not select or interpret passages. Clarity feedback is allowed only after you draft the comparison and ethical choice.</w:t>
      </w:r>
    </w:p>
    <w:p>
      <w:r>
        <w:t>Criteria:</w:t>
      </w:r>
    </w:p>
    <w:p>
      <w:pPr>
        <w:keepLines/>
        <w:spacing w:after="30"/>
        <w:ind w:left="317" w:hanging="230"/>
      </w:pPr>
      <w:r>
        <w:rPr>
          <w:b/>
        </w:rPr>
        <w:t xml:space="preserve">• </w:t>
      </w:r>
      <w:r>
        <w:t>In-class close reading (8)</w:t>
      </w:r>
    </w:p>
    <w:p>
      <w:pPr>
        <w:keepLines/>
        <w:spacing w:after="30"/>
        <w:ind w:left="317" w:hanging="230"/>
      </w:pPr>
      <w:r>
        <w:rPr>
          <w:b/>
        </w:rPr>
        <w:t xml:space="preserve">• </w:t>
      </w:r>
      <w:r>
        <w:t>Evidence-based comparison memo (10)</w:t>
      </w:r>
    </w:p>
    <w:p>
      <w:pPr>
        <w:keepLines/>
        <w:spacing w:after="30"/>
        <w:ind w:left="317" w:hanging="230"/>
      </w:pPr>
      <w:r>
        <w:rPr>
          <w:b/>
        </w:rPr>
        <w:t xml:space="preserve">• </w:t>
      </w:r>
      <w:r>
        <w:t>Ethics and transfer question (5)</w:t>
      </w:r>
    </w:p>
    <w:p>
      <w:pPr>
        <w:keepLines/>
        <w:spacing w:after="30"/>
        <w:ind w:left="317" w:hanging="230"/>
      </w:pPr>
      <w:r>
        <w:rPr>
          <w:b/>
        </w:rPr>
        <w:t xml:space="preserve">• </w:t>
      </w:r>
      <w:r>
        <w:t>Complete Decision Record (2)</w:t>
      </w:r>
    </w:p>
    <w:tbl>
      <w:tblPr>
        <w:tblStyle w:val="TableGrid"/>
        <w:tblW w:type="auto" w:w="0"/>
        <w:jc w:val="center"/>
        <w:tblLook w:firstColumn="1" w:firstRow="1" w:lastColumn="0" w:lastRow="0" w:noHBand="0" w:noVBand="1" w:val="04A0"/>
      </w:tblPr>
      <w:tblGrid>
        <w:gridCol w:w="5083"/>
        <w:gridCol w:w="5083"/>
      </w:tblGrid>
      <w:tr>
        <w:trPr>
          <w:tblHeader w:val="true"/>
          <w:cantSplit w:val="true"/>
        </w:trPr>
        <w:tc>
          <w:tcPr>
            <w:tcW w:type="dxa" w:w="1584"/>
            <w:shd w:fill="24364B"/>
            <w:vAlign w:val="center"/>
            <w:tcMar>
              <w:top w:w="60" w:type="dxa"/>
              <w:start w:w="80" w:type="dxa"/>
              <w:bottom w:w="60" w:type="dxa"/>
              <w:end w:w="80" w:type="dxa"/>
            </w:tcMar>
          </w:tcPr>
          <w:p>
            <w:r>
              <w:rPr>
                <w:b/>
                <w:color w:val="FFFFFF"/>
                <w:sz w:val="16"/>
              </w:rPr>
              <w:t>Level</w:t>
            </w:r>
          </w:p>
        </w:tc>
        <w:tc>
          <w:tcPr>
            <w:tcW w:type="dxa" w:w="9072"/>
            <w:shd w:fill="24364B"/>
            <w:vAlign w:val="center"/>
            <w:tcMar>
              <w:top w:w="60" w:type="dxa"/>
              <w:start w:w="80" w:type="dxa"/>
              <w:bottom w:w="60" w:type="dxa"/>
              <w:end w:w="80" w:type="dxa"/>
            </w:tcMar>
          </w:tcPr>
          <w:p>
            <w:r>
              <w:rPr>
                <w:b/>
                <w:color w:val="FFFFFF"/>
                <w:sz w:val="16"/>
              </w:rPr>
              <w:t>Descriptor</w:t>
            </w:r>
          </w:p>
        </w:tc>
      </w:tr>
      <w:tr>
        <w:trPr>
          <w:cantSplit w:val="true"/>
        </w:trPr>
        <w:tc>
          <w:tcPr>
            <w:tcW w:type="dxa" w:w="1584"/>
            <w:vAlign w:val="top"/>
            <w:tcMar>
              <w:top w:w="60" w:type="dxa"/>
              <w:start w:w="80" w:type="dxa"/>
              <w:bottom w:w="60" w:type="dxa"/>
              <w:end w:w="80" w:type="dxa"/>
            </w:tcMar>
          </w:tcPr>
          <w:p>
            <w:pPr>
              <w:spacing w:after="20"/>
            </w:pPr>
            <w:r>
              <w:rPr>
                <w:sz w:val="16"/>
              </w:rPr>
              <w:t>Exemplary</w:t>
            </w:r>
          </w:p>
        </w:tc>
        <w:tc>
          <w:tcPr>
            <w:tcW w:type="dxa" w:w="9072"/>
            <w:vAlign w:val="top"/>
            <w:tcMar>
              <w:top w:w="60" w:type="dxa"/>
              <w:start w:w="80" w:type="dxa"/>
              <w:bottom w:w="60" w:type="dxa"/>
              <w:end w:w="80" w:type="dxa"/>
            </w:tcMar>
          </w:tcPr>
          <w:p>
            <w:pPr>
              <w:spacing w:after="20"/>
            </w:pPr>
            <w:r>
              <w:rPr>
                <w:sz w:val="16"/>
              </w:rPr>
              <w:t>Precise, persuasive, well-evidenced, attentive to source limits, and audience-ready.</w:t>
            </w:r>
          </w:p>
        </w:tc>
      </w:tr>
      <w:tr>
        <w:trPr>
          <w:cantSplit w:val="true"/>
        </w:trPr>
        <w:tc>
          <w:tcPr>
            <w:tcW w:type="dxa" w:w="1584"/>
            <w:vAlign w:val="top"/>
            <w:shd w:fill="F7F3EA"/>
            <w:tcMar>
              <w:top w:w="60" w:type="dxa"/>
              <w:start w:w="80" w:type="dxa"/>
              <w:bottom w:w="60" w:type="dxa"/>
              <w:end w:w="80" w:type="dxa"/>
            </w:tcMar>
          </w:tcPr>
          <w:p>
            <w:pPr>
              <w:spacing w:after="20"/>
            </w:pPr>
            <w:r>
              <w:rPr>
                <w:sz w:val="16"/>
              </w:rPr>
              <w:t>Proficient</w:t>
            </w:r>
          </w:p>
        </w:tc>
        <w:tc>
          <w:tcPr>
            <w:tcW w:type="dxa" w:w="9072"/>
            <w:vAlign w:val="top"/>
            <w:shd w:fill="F7F3EA"/>
            <w:tcMar>
              <w:top w:w="60" w:type="dxa"/>
              <w:start w:w="80" w:type="dxa"/>
              <w:bottom w:w="60" w:type="dxa"/>
              <w:end w:w="80" w:type="dxa"/>
            </w:tcMar>
          </w:tcPr>
          <w:p>
            <w:pPr>
              <w:spacing w:after="20"/>
            </w:pPr>
            <w:r>
              <w:rPr>
                <w:sz w:val="16"/>
              </w:rPr>
              <w:t>Clear and accurate with relevant evidence; minor gaps do not undermine the interpretation.</w:t>
            </w:r>
          </w:p>
        </w:tc>
      </w:tr>
      <w:tr>
        <w:trPr>
          <w:cantSplit w:val="true"/>
        </w:trPr>
        <w:tc>
          <w:tcPr>
            <w:tcW w:type="dxa" w:w="1584"/>
            <w:vAlign w:val="top"/>
            <w:tcMar>
              <w:top w:w="60" w:type="dxa"/>
              <w:start w:w="80" w:type="dxa"/>
              <w:bottom w:w="60" w:type="dxa"/>
              <w:end w:w="80" w:type="dxa"/>
            </w:tcMar>
          </w:tcPr>
          <w:p>
            <w:pPr>
              <w:spacing w:after="20"/>
            </w:pPr>
            <w:r>
              <w:rPr>
                <w:sz w:val="16"/>
              </w:rPr>
              <w:t>Developing</w:t>
            </w:r>
          </w:p>
        </w:tc>
        <w:tc>
          <w:tcPr>
            <w:tcW w:type="dxa" w:w="9072"/>
            <w:vAlign w:val="top"/>
            <w:tcMar>
              <w:top w:w="60" w:type="dxa"/>
              <w:start w:w="80" w:type="dxa"/>
              <w:bottom w:w="60" w:type="dxa"/>
              <w:end w:w="80" w:type="dxa"/>
            </w:tcMar>
          </w:tcPr>
          <w:p>
            <w:pPr>
              <w:spacing w:after="20"/>
            </w:pPr>
            <w:r>
              <w:rPr>
                <w:sz w:val="16"/>
              </w:rPr>
              <w:t>A plausible direction with uneven evidence, context, synthesis, or communication.</w:t>
            </w:r>
          </w:p>
        </w:tc>
      </w:tr>
      <w:tr>
        <w:trPr>
          <w:cantSplit w:val="true"/>
        </w:trPr>
        <w:tc>
          <w:tcPr>
            <w:tcW w:type="dxa" w:w="1584"/>
            <w:vAlign w:val="top"/>
            <w:shd w:fill="F7F3EA"/>
            <w:tcMar>
              <w:top w:w="60" w:type="dxa"/>
              <w:start w:w="80" w:type="dxa"/>
              <w:bottom w:w="60" w:type="dxa"/>
              <w:end w:w="80" w:type="dxa"/>
            </w:tcMar>
          </w:tcPr>
          <w:p>
            <w:pPr>
              <w:spacing w:after="20"/>
            </w:pPr>
            <w:r>
              <w:rPr>
                <w:sz w:val="16"/>
              </w:rPr>
              <w:t>Beginning</w:t>
            </w:r>
          </w:p>
        </w:tc>
        <w:tc>
          <w:tcPr>
            <w:tcW w:type="dxa" w:w="9072"/>
            <w:vAlign w:val="top"/>
            <w:shd w:fill="F7F3EA"/>
            <w:tcMar>
              <w:top w:w="60" w:type="dxa"/>
              <w:start w:w="80" w:type="dxa"/>
              <w:bottom w:w="60" w:type="dxa"/>
              <w:end w:w="80" w:type="dxa"/>
            </w:tcMar>
          </w:tcPr>
          <w:p>
            <w:pPr>
              <w:spacing w:after="20"/>
            </w:pPr>
            <w:r>
              <w:rPr>
                <w:sz w:val="16"/>
              </w:rPr>
              <w:t>Minimal, inaccurate, unsupported, incomplete, or not yet aligned with the task.</w:t>
            </w:r>
          </w:p>
        </w:tc>
      </w:tr>
    </w:tbl>
    <w:p>
      <w:pPr>
        <w:spacing w:after="20"/>
      </w:pPr>
    </w:p>
    <w:p>
      <w:pPr>
        <w:pStyle w:val="Heading2"/>
      </w:pPr>
      <w:r>
        <w:t>Source Reasoning Lab 4: Oral History, Memory, and Silences</w:t>
      </w:r>
    </w:p>
    <w:p>
      <w:r>
        <w:rPr>
          <w:b/>
        </w:rPr>
        <w:t xml:space="preserve">Fall 2026 deadline: </w:t>
      </w:r>
      <w:r>
        <w:t>Friday, November 13, 2026, 11:59 pm Central</w:t>
      </w:r>
    </w:p>
    <w:p>
      <w:r>
        <w:rPr>
          <w:b/>
        </w:rPr>
        <w:t xml:space="preserve">Automatic grace period: </w:t>
      </w:r>
      <w:r>
        <w:t>through Sunday, November 15, 2026, 11:59 pm Central; no permission or penalty. Work closes after Sunday absent pre-approval or extenuating circumstances.</w:t>
      </w:r>
    </w:p>
    <w:p>
      <w:r>
        <w:rPr>
          <w:b/>
        </w:rPr>
        <w:t xml:space="preserve">Purpose: </w:t>
      </w:r>
      <w:r>
        <w:t>Evaluate memory as evidence while respecting narrators and collection context.</w:t>
      </w:r>
    </w:p>
    <w:p>
      <w:r>
        <w:rPr>
          <w:b/>
        </w:rPr>
        <w:t xml:space="preserve">Task: </w:t>
      </w:r>
      <w:r>
        <w:t>Annotate an approved oral-history segment in class, then write a 500–650 word memo on narrator position, interview context, memory, corroboration, ethical use, and evidentiary limits. Finish an unseen transfer question and the common Decision Record.</w:t>
      </w:r>
    </w:p>
    <w:p>
      <w:r>
        <w:rPr>
          <w:b/>
        </w:rPr>
        <w:t xml:space="preserve">Submission: </w:t>
      </w:r>
      <w:r>
        <w:t>Text entry or file upload.</w:t>
      </w:r>
    </w:p>
    <w:p>
      <w:r>
        <w:rPr>
          <w:b/>
        </w:rPr>
        <w:t xml:space="preserve">AI boundary: </w:t>
      </w:r>
      <w:r>
        <w:t>Do not upload oral-history media or transcripts to AI. No AI during in-class work or for analysis of testimony.</w:t>
      </w:r>
    </w:p>
    <w:p>
      <w:r>
        <w:t>Criteria:</w:t>
      </w:r>
    </w:p>
    <w:p>
      <w:pPr>
        <w:keepLines/>
        <w:spacing w:after="30"/>
        <w:ind w:left="317" w:hanging="230"/>
      </w:pPr>
      <w:r>
        <w:rPr>
          <w:b/>
        </w:rPr>
        <w:t xml:space="preserve">• </w:t>
      </w:r>
      <w:r>
        <w:t>In-class segment annotation (8)</w:t>
      </w:r>
    </w:p>
    <w:p>
      <w:pPr>
        <w:keepLines/>
        <w:spacing w:after="30"/>
        <w:ind w:left="317" w:hanging="230"/>
      </w:pPr>
      <w:r>
        <w:rPr>
          <w:b/>
        </w:rPr>
        <w:t xml:space="preserve">• </w:t>
      </w:r>
      <w:r>
        <w:t>Evidence-based reasoning memo (10)</w:t>
      </w:r>
    </w:p>
    <w:p>
      <w:pPr>
        <w:keepLines/>
        <w:spacing w:after="30"/>
        <w:ind w:left="317" w:hanging="230"/>
      </w:pPr>
      <w:r>
        <w:rPr>
          <w:b/>
        </w:rPr>
        <w:t xml:space="preserve">• </w:t>
      </w:r>
      <w:r>
        <w:t>Ethics and transfer question (5)</w:t>
      </w:r>
    </w:p>
    <w:p>
      <w:pPr>
        <w:keepLines/>
        <w:spacing w:after="30"/>
        <w:ind w:left="317" w:hanging="230"/>
      </w:pPr>
      <w:r>
        <w:rPr>
          <w:b/>
        </w:rPr>
        <w:t xml:space="preserve">• </w:t>
      </w:r>
      <w:r>
        <w:t>Complete Decision Record (2)</w:t>
      </w:r>
    </w:p>
    <w:tbl>
      <w:tblPr>
        <w:tblStyle w:val="TableGrid"/>
        <w:tblW w:type="auto" w:w="0"/>
        <w:jc w:val="center"/>
        <w:tblLook w:firstColumn="1" w:firstRow="1" w:lastColumn="0" w:lastRow="0" w:noHBand="0" w:noVBand="1" w:val="04A0"/>
      </w:tblPr>
      <w:tblGrid>
        <w:gridCol w:w="5083"/>
        <w:gridCol w:w="5083"/>
      </w:tblGrid>
      <w:tr>
        <w:trPr>
          <w:tblHeader w:val="true"/>
          <w:cantSplit w:val="true"/>
        </w:trPr>
        <w:tc>
          <w:tcPr>
            <w:tcW w:type="dxa" w:w="1584"/>
            <w:shd w:fill="24364B"/>
            <w:vAlign w:val="center"/>
            <w:tcMar>
              <w:top w:w="60" w:type="dxa"/>
              <w:start w:w="80" w:type="dxa"/>
              <w:bottom w:w="60" w:type="dxa"/>
              <w:end w:w="80" w:type="dxa"/>
            </w:tcMar>
          </w:tcPr>
          <w:p>
            <w:r>
              <w:rPr>
                <w:b/>
                <w:color w:val="FFFFFF"/>
                <w:sz w:val="16"/>
              </w:rPr>
              <w:t>Level</w:t>
            </w:r>
          </w:p>
        </w:tc>
        <w:tc>
          <w:tcPr>
            <w:tcW w:type="dxa" w:w="9072"/>
            <w:shd w:fill="24364B"/>
            <w:vAlign w:val="center"/>
            <w:tcMar>
              <w:top w:w="60" w:type="dxa"/>
              <w:start w:w="80" w:type="dxa"/>
              <w:bottom w:w="60" w:type="dxa"/>
              <w:end w:w="80" w:type="dxa"/>
            </w:tcMar>
          </w:tcPr>
          <w:p>
            <w:r>
              <w:rPr>
                <w:b/>
                <w:color w:val="FFFFFF"/>
                <w:sz w:val="16"/>
              </w:rPr>
              <w:t>Descriptor</w:t>
            </w:r>
          </w:p>
        </w:tc>
      </w:tr>
      <w:tr>
        <w:trPr>
          <w:cantSplit w:val="true"/>
        </w:trPr>
        <w:tc>
          <w:tcPr>
            <w:tcW w:type="dxa" w:w="1584"/>
            <w:vAlign w:val="top"/>
            <w:tcMar>
              <w:top w:w="60" w:type="dxa"/>
              <w:start w:w="80" w:type="dxa"/>
              <w:bottom w:w="60" w:type="dxa"/>
              <w:end w:w="80" w:type="dxa"/>
            </w:tcMar>
          </w:tcPr>
          <w:p>
            <w:pPr>
              <w:spacing w:after="20"/>
            </w:pPr>
            <w:r>
              <w:rPr>
                <w:sz w:val="16"/>
              </w:rPr>
              <w:t>Exemplary</w:t>
            </w:r>
          </w:p>
        </w:tc>
        <w:tc>
          <w:tcPr>
            <w:tcW w:type="dxa" w:w="9072"/>
            <w:vAlign w:val="top"/>
            <w:tcMar>
              <w:top w:w="60" w:type="dxa"/>
              <w:start w:w="80" w:type="dxa"/>
              <w:bottom w:w="60" w:type="dxa"/>
              <w:end w:w="80" w:type="dxa"/>
            </w:tcMar>
          </w:tcPr>
          <w:p>
            <w:pPr>
              <w:spacing w:after="20"/>
            </w:pPr>
            <w:r>
              <w:rPr>
                <w:sz w:val="16"/>
              </w:rPr>
              <w:t>Precise, persuasive, well-evidenced, attentive to source limits, and audience-ready.</w:t>
            </w:r>
          </w:p>
        </w:tc>
      </w:tr>
      <w:tr>
        <w:trPr>
          <w:cantSplit w:val="true"/>
        </w:trPr>
        <w:tc>
          <w:tcPr>
            <w:tcW w:type="dxa" w:w="1584"/>
            <w:vAlign w:val="top"/>
            <w:shd w:fill="F7F3EA"/>
            <w:tcMar>
              <w:top w:w="60" w:type="dxa"/>
              <w:start w:w="80" w:type="dxa"/>
              <w:bottom w:w="60" w:type="dxa"/>
              <w:end w:w="80" w:type="dxa"/>
            </w:tcMar>
          </w:tcPr>
          <w:p>
            <w:pPr>
              <w:spacing w:after="20"/>
            </w:pPr>
            <w:r>
              <w:rPr>
                <w:sz w:val="16"/>
              </w:rPr>
              <w:t>Proficient</w:t>
            </w:r>
          </w:p>
        </w:tc>
        <w:tc>
          <w:tcPr>
            <w:tcW w:type="dxa" w:w="9072"/>
            <w:vAlign w:val="top"/>
            <w:shd w:fill="F7F3EA"/>
            <w:tcMar>
              <w:top w:w="60" w:type="dxa"/>
              <w:start w:w="80" w:type="dxa"/>
              <w:bottom w:w="60" w:type="dxa"/>
              <w:end w:w="80" w:type="dxa"/>
            </w:tcMar>
          </w:tcPr>
          <w:p>
            <w:pPr>
              <w:spacing w:after="20"/>
            </w:pPr>
            <w:r>
              <w:rPr>
                <w:sz w:val="16"/>
              </w:rPr>
              <w:t>Clear and accurate with relevant evidence; minor gaps do not undermine the interpretation.</w:t>
            </w:r>
          </w:p>
        </w:tc>
      </w:tr>
      <w:tr>
        <w:trPr>
          <w:cantSplit w:val="true"/>
        </w:trPr>
        <w:tc>
          <w:tcPr>
            <w:tcW w:type="dxa" w:w="1584"/>
            <w:vAlign w:val="top"/>
            <w:tcMar>
              <w:top w:w="60" w:type="dxa"/>
              <w:start w:w="80" w:type="dxa"/>
              <w:bottom w:w="60" w:type="dxa"/>
              <w:end w:w="80" w:type="dxa"/>
            </w:tcMar>
          </w:tcPr>
          <w:p>
            <w:pPr>
              <w:spacing w:after="20"/>
            </w:pPr>
            <w:r>
              <w:rPr>
                <w:sz w:val="16"/>
              </w:rPr>
              <w:t>Developing</w:t>
            </w:r>
          </w:p>
        </w:tc>
        <w:tc>
          <w:tcPr>
            <w:tcW w:type="dxa" w:w="9072"/>
            <w:vAlign w:val="top"/>
            <w:tcMar>
              <w:top w:w="60" w:type="dxa"/>
              <w:start w:w="80" w:type="dxa"/>
              <w:bottom w:w="60" w:type="dxa"/>
              <w:end w:w="80" w:type="dxa"/>
            </w:tcMar>
          </w:tcPr>
          <w:p>
            <w:pPr>
              <w:spacing w:after="20"/>
            </w:pPr>
            <w:r>
              <w:rPr>
                <w:sz w:val="16"/>
              </w:rPr>
              <w:t>A plausible direction with uneven evidence, context, synthesis, or communication.</w:t>
            </w:r>
          </w:p>
        </w:tc>
      </w:tr>
      <w:tr>
        <w:trPr>
          <w:cantSplit w:val="true"/>
        </w:trPr>
        <w:tc>
          <w:tcPr>
            <w:tcW w:type="dxa" w:w="1584"/>
            <w:vAlign w:val="top"/>
            <w:shd w:fill="F7F3EA"/>
            <w:tcMar>
              <w:top w:w="60" w:type="dxa"/>
              <w:start w:w="80" w:type="dxa"/>
              <w:bottom w:w="60" w:type="dxa"/>
              <w:end w:w="80" w:type="dxa"/>
            </w:tcMar>
          </w:tcPr>
          <w:p>
            <w:pPr>
              <w:spacing w:after="20"/>
            </w:pPr>
            <w:r>
              <w:rPr>
                <w:sz w:val="16"/>
              </w:rPr>
              <w:t>Beginning</w:t>
            </w:r>
          </w:p>
        </w:tc>
        <w:tc>
          <w:tcPr>
            <w:tcW w:type="dxa" w:w="9072"/>
            <w:vAlign w:val="top"/>
            <w:shd w:fill="F7F3EA"/>
            <w:tcMar>
              <w:top w:w="60" w:type="dxa"/>
              <w:start w:w="80" w:type="dxa"/>
              <w:bottom w:w="60" w:type="dxa"/>
              <w:end w:w="80" w:type="dxa"/>
            </w:tcMar>
          </w:tcPr>
          <w:p>
            <w:pPr>
              <w:spacing w:after="20"/>
            </w:pPr>
            <w:r>
              <w:rPr>
                <w:sz w:val="16"/>
              </w:rPr>
              <w:t>Minimal, inaccurate, unsupported, incomplete, or not yet aligned with the task.</w:t>
            </w:r>
          </w:p>
        </w:tc>
      </w:tr>
    </w:tbl>
    <w:p>
      <w:pPr>
        <w:spacing w:after="20"/>
      </w:pPr>
    </w:p>
    <w:p>
      <w:pPr>
        <w:pStyle w:val="Heading2"/>
      </w:pPr>
      <w:r>
        <w:t>Historiographical Judgment Portfolio</w:t>
      </w:r>
    </w:p>
    <w:p>
      <w:r>
        <w:rPr>
          <w:b/>
        </w:rPr>
        <w:t xml:space="preserve">Fall 2026 deadline: </w:t>
      </w:r>
      <w:r>
        <w:t>Friday, October 16, 2026, 11:59 pm Central</w:t>
      </w:r>
    </w:p>
    <w:p>
      <w:r>
        <w:rPr>
          <w:b/>
        </w:rPr>
        <w:t xml:space="preserve">Automatic grace period: </w:t>
      </w:r>
      <w:r>
        <w:t>through Sunday, October 18, 2026, 11:59 pm Central; no permission or penalty. Work closes after Sunday absent pre-approval or extenuating circumstances.</w:t>
      </w:r>
    </w:p>
    <w:p>
      <w:r>
        <w:rPr>
          <w:b/>
        </w:rPr>
        <w:t xml:space="preserve">Purpose: </w:t>
      </w:r>
      <w:r>
        <w:t>Judge how historians’ questions, evidence, scale, and causation shape interpretations of western expansion and state formation.</w:t>
      </w:r>
    </w:p>
    <w:p>
      <w:r>
        <w:rPr>
          <w:b/>
        </w:rPr>
        <w:t xml:space="preserve">Task: </w:t>
      </w:r>
      <w:r>
        <w:t>Prepare position cards and a page-anchored comparison matrix for three assigned scholars. Complete a 45-minute unseen synthesis in class, then submit a revised 1,200–1,500 word synthesis with a change memo and defend the revision in conference.</w:t>
      </w:r>
    </w:p>
    <w:p>
      <w:r>
        <w:rPr>
          <w:b/>
        </w:rPr>
        <w:t xml:space="preserve">Submission: </w:t>
      </w:r>
      <w:r>
        <w:t>Submit portfolio as one PDF or DOCX; complete the unseen synthesis and conference in person.</w:t>
      </w:r>
    </w:p>
    <w:p>
      <w:r>
        <w:rPr>
          <w:b/>
        </w:rPr>
        <w:t xml:space="preserve">AI boundary: </w:t>
      </w:r>
      <w:r>
        <w:t>No AI for cards, matrix, in-class synthesis, or defense. Later clarity or organization feedback on your own revision is allowed and must be documented.</w:t>
      </w:r>
    </w:p>
    <w:p>
      <w:r>
        <w:t>Criteria:</w:t>
      </w:r>
    </w:p>
    <w:p>
      <w:pPr>
        <w:keepLines/>
        <w:spacing w:after="30"/>
        <w:ind w:left="317" w:hanging="230"/>
      </w:pPr>
      <w:r>
        <w:rPr>
          <w:b/>
        </w:rPr>
        <w:t xml:space="preserve">• </w:t>
      </w:r>
      <w:r>
        <w:t>Position cards (15)</w:t>
      </w:r>
    </w:p>
    <w:p>
      <w:pPr>
        <w:keepLines/>
        <w:spacing w:after="30"/>
        <w:ind w:left="317" w:hanging="230"/>
      </w:pPr>
      <w:r>
        <w:rPr>
          <w:b/>
        </w:rPr>
        <w:t xml:space="preserve">• </w:t>
      </w:r>
      <w:r>
        <w:t>Page-anchored comparison matrix (20)</w:t>
      </w:r>
    </w:p>
    <w:p>
      <w:pPr>
        <w:keepLines/>
        <w:spacing w:after="30"/>
        <w:ind w:left="317" w:hanging="230"/>
      </w:pPr>
      <w:r>
        <w:rPr>
          <w:b/>
        </w:rPr>
        <w:t xml:space="preserve">• </w:t>
      </w:r>
      <w:r>
        <w:t>In-class unseen synthesis (30)</w:t>
      </w:r>
    </w:p>
    <w:p>
      <w:pPr>
        <w:keepLines/>
        <w:spacing w:after="30"/>
        <w:ind w:left="317" w:hanging="230"/>
      </w:pPr>
      <w:r>
        <w:rPr>
          <w:b/>
        </w:rPr>
        <w:t xml:space="preserve">• </w:t>
      </w:r>
      <w:r>
        <w:t>Revised synthesis and change memo (25)</w:t>
      </w:r>
    </w:p>
    <w:p>
      <w:pPr>
        <w:keepLines/>
        <w:spacing w:after="30"/>
        <w:ind w:left="317" w:hanging="230"/>
      </w:pPr>
      <w:r>
        <w:rPr>
          <w:b/>
        </w:rPr>
        <w:t xml:space="preserve">• </w:t>
      </w:r>
      <w:r>
        <w:t>Conference defense (10)</w:t>
      </w:r>
    </w:p>
    <w:tbl>
      <w:tblPr>
        <w:tblStyle w:val="TableGrid"/>
        <w:tblW w:type="auto" w:w="0"/>
        <w:jc w:val="center"/>
        <w:tblLook w:firstColumn="1" w:firstRow="1" w:lastColumn="0" w:lastRow="0" w:noHBand="0" w:noVBand="1" w:val="04A0"/>
      </w:tblPr>
      <w:tblGrid>
        <w:gridCol w:w="5083"/>
        <w:gridCol w:w="5083"/>
      </w:tblGrid>
      <w:tr>
        <w:trPr>
          <w:tblHeader w:val="true"/>
          <w:cantSplit w:val="true"/>
        </w:trPr>
        <w:tc>
          <w:tcPr>
            <w:tcW w:type="dxa" w:w="1584"/>
            <w:shd w:fill="24364B"/>
            <w:vAlign w:val="center"/>
            <w:tcMar>
              <w:top w:w="60" w:type="dxa"/>
              <w:start w:w="80" w:type="dxa"/>
              <w:bottom w:w="60" w:type="dxa"/>
              <w:end w:w="80" w:type="dxa"/>
            </w:tcMar>
          </w:tcPr>
          <w:p>
            <w:r>
              <w:rPr>
                <w:b/>
                <w:color w:val="FFFFFF"/>
                <w:sz w:val="16"/>
              </w:rPr>
              <w:t>Level</w:t>
            </w:r>
          </w:p>
        </w:tc>
        <w:tc>
          <w:tcPr>
            <w:tcW w:type="dxa" w:w="9072"/>
            <w:shd w:fill="24364B"/>
            <w:vAlign w:val="center"/>
            <w:tcMar>
              <w:top w:w="60" w:type="dxa"/>
              <w:start w:w="80" w:type="dxa"/>
              <w:bottom w:w="60" w:type="dxa"/>
              <w:end w:w="80" w:type="dxa"/>
            </w:tcMar>
          </w:tcPr>
          <w:p>
            <w:r>
              <w:rPr>
                <w:b/>
                <w:color w:val="FFFFFF"/>
                <w:sz w:val="16"/>
              </w:rPr>
              <w:t>Descriptor</w:t>
            </w:r>
          </w:p>
        </w:tc>
      </w:tr>
      <w:tr>
        <w:trPr>
          <w:cantSplit w:val="true"/>
        </w:trPr>
        <w:tc>
          <w:tcPr>
            <w:tcW w:type="dxa" w:w="1584"/>
            <w:vAlign w:val="top"/>
            <w:tcMar>
              <w:top w:w="60" w:type="dxa"/>
              <w:start w:w="80" w:type="dxa"/>
              <w:bottom w:w="60" w:type="dxa"/>
              <w:end w:w="80" w:type="dxa"/>
            </w:tcMar>
          </w:tcPr>
          <w:p>
            <w:pPr>
              <w:spacing w:after="20"/>
            </w:pPr>
            <w:r>
              <w:rPr>
                <w:sz w:val="16"/>
              </w:rPr>
              <w:t>Exemplary</w:t>
            </w:r>
          </w:p>
        </w:tc>
        <w:tc>
          <w:tcPr>
            <w:tcW w:type="dxa" w:w="9072"/>
            <w:vAlign w:val="top"/>
            <w:tcMar>
              <w:top w:w="60" w:type="dxa"/>
              <w:start w:w="80" w:type="dxa"/>
              <w:bottom w:w="60" w:type="dxa"/>
              <w:end w:w="80" w:type="dxa"/>
            </w:tcMar>
          </w:tcPr>
          <w:p>
            <w:pPr>
              <w:spacing w:after="20"/>
            </w:pPr>
            <w:r>
              <w:rPr>
                <w:sz w:val="16"/>
              </w:rPr>
              <w:t>Precise, persuasive, well-evidenced, attentive to source limits, and audience-ready.</w:t>
            </w:r>
          </w:p>
        </w:tc>
      </w:tr>
      <w:tr>
        <w:trPr>
          <w:cantSplit w:val="true"/>
        </w:trPr>
        <w:tc>
          <w:tcPr>
            <w:tcW w:type="dxa" w:w="1584"/>
            <w:vAlign w:val="top"/>
            <w:shd w:fill="F7F3EA"/>
            <w:tcMar>
              <w:top w:w="60" w:type="dxa"/>
              <w:start w:w="80" w:type="dxa"/>
              <w:bottom w:w="60" w:type="dxa"/>
              <w:end w:w="80" w:type="dxa"/>
            </w:tcMar>
          </w:tcPr>
          <w:p>
            <w:pPr>
              <w:spacing w:after="20"/>
            </w:pPr>
            <w:r>
              <w:rPr>
                <w:sz w:val="16"/>
              </w:rPr>
              <w:t>Proficient</w:t>
            </w:r>
          </w:p>
        </w:tc>
        <w:tc>
          <w:tcPr>
            <w:tcW w:type="dxa" w:w="9072"/>
            <w:vAlign w:val="top"/>
            <w:shd w:fill="F7F3EA"/>
            <w:tcMar>
              <w:top w:w="60" w:type="dxa"/>
              <w:start w:w="80" w:type="dxa"/>
              <w:bottom w:w="60" w:type="dxa"/>
              <w:end w:w="80" w:type="dxa"/>
            </w:tcMar>
          </w:tcPr>
          <w:p>
            <w:pPr>
              <w:spacing w:after="20"/>
            </w:pPr>
            <w:r>
              <w:rPr>
                <w:sz w:val="16"/>
              </w:rPr>
              <w:t>Clear and accurate with relevant evidence; minor gaps do not undermine the interpretation.</w:t>
            </w:r>
          </w:p>
        </w:tc>
      </w:tr>
      <w:tr>
        <w:trPr>
          <w:cantSplit w:val="true"/>
        </w:trPr>
        <w:tc>
          <w:tcPr>
            <w:tcW w:type="dxa" w:w="1584"/>
            <w:vAlign w:val="top"/>
            <w:tcMar>
              <w:top w:w="60" w:type="dxa"/>
              <w:start w:w="80" w:type="dxa"/>
              <w:bottom w:w="60" w:type="dxa"/>
              <w:end w:w="80" w:type="dxa"/>
            </w:tcMar>
          </w:tcPr>
          <w:p>
            <w:pPr>
              <w:spacing w:after="20"/>
            </w:pPr>
            <w:r>
              <w:rPr>
                <w:sz w:val="16"/>
              </w:rPr>
              <w:t>Developing</w:t>
            </w:r>
          </w:p>
        </w:tc>
        <w:tc>
          <w:tcPr>
            <w:tcW w:type="dxa" w:w="9072"/>
            <w:vAlign w:val="top"/>
            <w:tcMar>
              <w:top w:w="60" w:type="dxa"/>
              <w:start w:w="80" w:type="dxa"/>
              <w:bottom w:w="60" w:type="dxa"/>
              <w:end w:w="80" w:type="dxa"/>
            </w:tcMar>
          </w:tcPr>
          <w:p>
            <w:pPr>
              <w:spacing w:after="20"/>
            </w:pPr>
            <w:r>
              <w:rPr>
                <w:sz w:val="16"/>
              </w:rPr>
              <w:t>A plausible direction with uneven evidence, context, synthesis, or communication.</w:t>
            </w:r>
          </w:p>
        </w:tc>
      </w:tr>
      <w:tr>
        <w:trPr>
          <w:cantSplit w:val="true"/>
        </w:trPr>
        <w:tc>
          <w:tcPr>
            <w:tcW w:type="dxa" w:w="1584"/>
            <w:vAlign w:val="top"/>
            <w:shd w:fill="F7F3EA"/>
            <w:tcMar>
              <w:top w:w="60" w:type="dxa"/>
              <w:start w:w="80" w:type="dxa"/>
              <w:bottom w:w="60" w:type="dxa"/>
              <w:end w:w="80" w:type="dxa"/>
            </w:tcMar>
          </w:tcPr>
          <w:p>
            <w:pPr>
              <w:spacing w:after="20"/>
            </w:pPr>
            <w:r>
              <w:rPr>
                <w:sz w:val="16"/>
              </w:rPr>
              <w:t>Beginning</w:t>
            </w:r>
          </w:p>
        </w:tc>
        <w:tc>
          <w:tcPr>
            <w:tcW w:type="dxa" w:w="9072"/>
            <w:vAlign w:val="top"/>
            <w:shd w:fill="F7F3EA"/>
            <w:tcMar>
              <w:top w:w="60" w:type="dxa"/>
              <w:start w:w="80" w:type="dxa"/>
              <w:bottom w:w="60" w:type="dxa"/>
              <w:end w:w="80" w:type="dxa"/>
            </w:tcMar>
          </w:tcPr>
          <w:p>
            <w:pPr>
              <w:spacing w:after="20"/>
            </w:pPr>
            <w:r>
              <w:rPr>
                <w:sz w:val="16"/>
              </w:rPr>
              <w:t>Minimal, inaccurate, unsupported, incomplete, or not yet aligned with the task.</w:t>
            </w:r>
          </w:p>
        </w:tc>
      </w:tr>
    </w:tbl>
    <w:p>
      <w:pPr>
        <w:spacing w:after="20"/>
      </w:pPr>
    </w:p>
    <w:p>
      <w:pPr>
        <w:pStyle w:val="Heading2"/>
      </w:pPr>
      <w:r>
        <w:t>Public History Capstone: Question and Scope Conference</w:t>
      </w:r>
    </w:p>
    <w:p>
      <w:r>
        <w:rPr>
          <w:b/>
        </w:rPr>
        <w:t xml:space="preserve">Fall 2026 deadline: </w:t>
      </w:r>
      <w:r>
        <w:t>Friday, October 9, 2026, 11:59 pm Central</w:t>
      </w:r>
    </w:p>
    <w:p>
      <w:r>
        <w:rPr>
          <w:b/>
        </w:rPr>
        <w:t xml:space="preserve">Automatic grace period: </w:t>
      </w:r>
      <w:r>
        <w:t>through Sunday, October 11, 2026, 11:59 pm Central; no permission or penalty. Work closes after Sunday absent pre-approval or extenuating circumstances.</w:t>
      </w:r>
    </w:p>
    <w:p>
      <w:r>
        <w:rPr>
          <w:b/>
        </w:rPr>
        <w:t xml:space="preserve">Purpose: </w:t>
      </w:r>
      <w:r>
        <w:t>Define a feasible, ethical public-history question, audience, and scope.</w:t>
      </w:r>
    </w:p>
    <w:p>
      <w:r>
        <w:rPr>
          <w:b/>
        </w:rPr>
        <w:t xml:space="preserve">Task: </w:t>
      </w:r>
      <w:r>
        <w:t>Submit a 350–500 word proposal with question, audience, working claim, geographic and chronological scope, source plan, one rejected alternative, and an access/ethics note. Defend the choices in a five-minute conference and complete the Decision Record.</w:t>
      </w:r>
    </w:p>
    <w:p>
      <w:r>
        <w:rPr>
          <w:b/>
        </w:rPr>
        <w:t xml:space="preserve">Submission: </w:t>
      </w:r>
      <w:r>
        <w:t>Text entry or file upload.</w:t>
      </w:r>
    </w:p>
    <w:p>
      <w:r>
        <w:rPr>
          <w:b/>
        </w:rPr>
        <w:t xml:space="preserve">AI boundary: </w:t>
      </w:r>
      <w:r>
        <w:t>AI may generate search terms only after you record your initial question. It may not choose the question, audience, scope, sources, or ethical position.</w:t>
      </w:r>
    </w:p>
    <w:p>
      <w:r>
        <w:t>Criteria:</w:t>
      </w:r>
    </w:p>
    <w:p>
      <w:pPr>
        <w:keepLines/>
        <w:spacing w:after="30"/>
        <w:ind w:left="317" w:hanging="230"/>
      </w:pPr>
      <w:r>
        <w:rPr>
          <w:b/>
        </w:rPr>
        <w:t xml:space="preserve">• </w:t>
      </w:r>
      <w:r>
        <w:t>Question and significance (3)</w:t>
      </w:r>
    </w:p>
    <w:p>
      <w:pPr>
        <w:keepLines/>
        <w:spacing w:after="30"/>
        <w:ind w:left="317" w:hanging="230"/>
      </w:pPr>
      <w:r>
        <w:rPr>
          <w:b/>
        </w:rPr>
        <w:t xml:space="preserve">• </w:t>
      </w:r>
      <w:r>
        <w:t>Feasible scope and source plan (3)</w:t>
      </w:r>
    </w:p>
    <w:p>
      <w:pPr>
        <w:keepLines/>
        <w:spacing w:after="30"/>
        <w:ind w:left="317" w:hanging="230"/>
      </w:pPr>
      <w:r>
        <w:rPr>
          <w:b/>
        </w:rPr>
        <w:t xml:space="preserve">• </w:t>
      </w:r>
      <w:r>
        <w:t>Audience and ethical position (2)</w:t>
      </w:r>
    </w:p>
    <w:p>
      <w:pPr>
        <w:keepLines/>
        <w:spacing w:after="30"/>
        <w:ind w:left="317" w:hanging="230"/>
      </w:pPr>
      <w:r>
        <w:rPr>
          <w:b/>
        </w:rPr>
        <w:t xml:space="preserve">• </w:t>
      </w:r>
      <w:r>
        <w:t>Conference defense and Decision Record (2)</w:t>
      </w:r>
    </w:p>
    <w:tbl>
      <w:tblPr>
        <w:tblStyle w:val="TableGrid"/>
        <w:tblW w:type="auto" w:w="0"/>
        <w:jc w:val="center"/>
        <w:tblLook w:firstColumn="1" w:firstRow="1" w:lastColumn="0" w:lastRow="0" w:noHBand="0" w:noVBand="1" w:val="04A0"/>
      </w:tblPr>
      <w:tblGrid>
        <w:gridCol w:w="5083"/>
        <w:gridCol w:w="5083"/>
      </w:tblGrid>
      <w:tr>
        <w:trPr>
          <w:tblHeader w:val="true"/>
          <w:cantSplit w:val="true"/>
        </w:trPr>
        <w:tc>
          <w:tcPr>
            <w:tcW w:type="dxa" w:w="1584"/>
            <w:shd w:fill="24364B"/>
            <w:vAlign w:val="center"/>
            <w:tcMar>
              <w:top w:w="60" w:type="dxa"/>
              <w:start w:w="80" w:type="dxa"/>
              <w:bottom w:w="60" w:type="dxa"/>
              <w:end w:w="80" w:type="dxa"/>
            </w:tcMar>
          </w:tcPr>
          <w:p>
            <w:r>
              <w:rPr>
                <w:b/>
                <w:color w:val="FFFFFF"/>
                <w:sz w:val="16"/>
              </w:rPr>
              <w:t>Level</w:t>
            </w:r>
          </w:p>
        </w:tc>
        <w:tc>
          <w:tcPr>
            <w:tcW w:type="dxa" w:w="9072"/>
            <w:shd w:fill="24364B"/>
            <w:vAlign w:val="center"/>
            <w:tcMar>
              <w:top w:w="60" w:type="dxa"/>
              <w:start w:w="80" w:type="dxa"/>
              <w:bottom w:w="60" w:type="dxa"/>
              <w:end w:w="80" w:type="dxa"/>
            </w:tcMar>
          </w:tcPr>
          <w:p>
            <w:r>
              <w:rPr>
                <w:b/>
                <w:color w:val="FFFFFF"/>
                <w:sz w:val="16"/>
              </w:rPr>
              <w:t>Descriptor</w:t>
            </w:r>
          </w:p>
        </w:tc>
      </w:tr>
      <w:tr>
        <w:trPr>
          <w:cantSplit w:val="true"/>
        </w:trPr>
        <w:tc>
          <w:tcPr>
            <w:tcW w:type="dxa" w:w="1584"/>
            <w:vAlign w:val="top"/>
            <w:tcMar>
              <w:top w:w="60" w:type="dxa"/>
              <w:start w:w="80" w:type="dxa"/>
              <w:bottom w:w="60" w:type="dxa"/>
              <w:end w:w="80" w:type="dxa"/>
            </w:tcMar>
          </w:tcPr>
          <w:p>
            <w:pPr>
              <w:spacing w:after="20"/>
            </w:pPr>
            <w:r>
              <w:rPr>
                <w:sz w:val="16"/>
              </w:rPr>
              <w:t>Exemplary</w:t>
            </w:r>
          </w:p>
        </w:tc>
        <w:tc>
          <w:tcPr>
            <w:tcW w:type="dxa" w:w="9072"/>
            <w:vAlign w:val="top"/>
            <w:tcMar>
              <w:top w:w="60" w:type="dxa"/>
              <w:start w:w="80" w:type="dxa"/>
              <w:bottom w:w="60" w:type="dxa"/>
              <w:end w:w="80" w:type="dxa"/>
            </w:tcMar>
          </w:tcPr>
          <w:p>
            <w:pPr>
              <w:spacing w:after="20"/>
            </w:pPr>
            <w:r>
              <w:rPr>
                <w:sz w:val="16"/>
              </w:rPr>
              <w:t>Precise, persuasive, well-evidenced, attentive to source limits, and audience-ready.</w:t>
            </w:r>
          </w:p>
        </w:tc>
      </w:tr>
      <w:tr>
        <w:trPr>
          <w:cantSplit w:val="true"/>
        </w:trPr>
        <w:tc>
          <w:tcPr>
            <w:tcW w:type="dxa" w:w="1584"/>
            <w:vAlign w:val="top"/>
            <w:shd w:fill="F7F3EA"/>
            <w:tcMar>
              <w:top w:w="60" w:type="dxa"/>
              <w:start w:w="80" w:type="dxa"/>
              <w:bottom w:w="60" w:type="dxa"/>
              <w:end w:w="80" w:type="dxa"/>
            </w:tcMar>
          </w:tcPr>
          <w:p>
            <w:pPr>
              <w:spacing w:after="20"/>
            </w:pPr>
            <w:r>
              <w:rPr>
                <w:sz w:val="16"/>
              </w:rPr>
              <w:t>Proficient</w:t>
            </w:r>
          </w:p>
        </w:tc>
        <w:tc>
          <w:tcPr>
            <w:tcW w:type="dxa" w:w="9072"/>
            <w:vAlign w:val="top"/>
            <w:shd w:fill="F7F3EA"/>
            <w:tcMar>
              <w:top w:w="60" w:type="dxa"/>
              <w:start w:w="80" w:type="dxa"/>
              <w:bottom w:w="60" w:type="dxa"/>
              <w:end w:w="80" w:type="dxa"/>
            </w:tcMar>
          </w:tcPr>
          <w:p>
            <w:pPr>
              <w:spacing w:after="20"/>
            </w:pPr>
            <w:r>
              <w:rPr>
                <w:sz w:val="16"/>
              </w:rPr>
              <w:t>Clear and accurate with relevant evidence; minor gaps do not undermine the interpretation.</w:t>
            </w:r>
          </w:p>
        </w:tc>
      </w:tr>
      <w:tr>
        <w:trPr>
          <w:cantSplit w:val="true"/>
        </w:trPr>
        <w:tc>
          <w:tcPr>
            <w:tcW w:type="dxa" w:w="1584"/>
            <w:vAlign w:val="top"/>
            <w:tcMar>
              <w:top w:w="60" w:type="dxa"/>
              <w:start w:w="80" w:type="dxa"/>
              <w:bottom w:w="60" w:type="dxa"/>
              <w:end w:w="80" w:type="dxa"/>
            </w:tcMar>
          </w:tcPr>
          <w:p>
            <w:pPr>
              <w:spacing w:after="20"/>
            </w:pPr>
            <w:r>
              <w:rPr>
                <w:sz w:val="16"/>
              </w:rPr>
              <w:t>Developing</w:t>
            </w:r>
          </w:p>
        </w:tc>
        <w:tc>
          <w:tcPr>
            <w:tcW w:type="dxa" w:w="9072"/>
            <w:vAlign w:val="top"/>
            <w:tcMar>
              <w:top w:w="60" w:type="dxa"/>
              <w:start w:w="80" w:type="dxa"/>
              <w:bottom w:w="60" w:type="dxa"/>
              <w:end w:w="80" w:type="dxa"/>
            </w:tcMar>
          </w:tcPr>
          <w:p>
            <w:pPr>
              <w:spacing w:after="20"/>
            </w:pPr>
            <w:r>
              <w:rPr>
                <w:sz w:val="16"/>
              </w:rPr>
              <w:t>A plausible direction with uneven evidence, context, synthesis, or communication.</w:t>
            </w:r>
          </w:p>
        </w:tc>
      </w:tr>
      <w:tr>
        <w:trPr>
          <w:cantSplit w:val="true"/>
        </w:trPr>
        <w:tc>
          <w:tcPr>
            <w:tcW w:type="dxa" w:w="1584"/>
            <w:vAlign w:val="top"/>
            <w:shd w:fill="F7F3EA"/>
            <w:tcMar>
              <w:top w:w="60" w:type="dxa"/>
              <w:start w:w="80" w:type="dxa"/>
              <w:bottom w:w="60" w:type="dxa"/>
              <w:end w:w="80" w:type="dxa"/>
            </w:tcMar>
          </w:tcPr>
          <w:p>
            <w:pPr>
              <w:spacing w:after="20"/>
            </w:pPr>
            <w:r>
              <w:rPr>
                <w:sz w:val="16"/>
              </w:rPr>
              <w:t>Beginning</w:t>
            </w:r>
          </w:p>
        </w:tc>
        <w:tc>
          <w:tcPr>
            <w:tcW w:type="dxa" w:w="9072"/>
            <w:vAlign w:val="top"/>
            <w:shd w:fill="F7F3EA"/>
            <w:tcMar>
              <w:top w:w="60" w:type="dxa"/>
              <w:start w:w="80" w:type="dxa"/>
              <w:bottom w:w="60" w:type="dxa"/>
              <w:end w:w="80" w:type="dxa"/>
            </w:tcMar>
          </w:tcPr>
          <w:p>
            <w:pPr>
              <w:spacing w:after="20"/>
            </w:pPr>
            <w:r>
              <w:rPr>
                <w:sz w:val="16"/>
              </w:rPr>
              <w:t>Minimal, inaccurate, unsupported, incomplete, or not yet aligned with the task.</w:t>
            </w:r>
          </w:p>
        </w:tc>
      </w:tr>
    </w:tbl>
    <w:p>
      <w:pPr>
        <w:spacing w:after="20"/>
      </w:pPr>
    </w:p>
    <w:p>
      <w:pPr>
        <w:pStyle w:val="Heading2"/>
      </w:pPr>
      <w:r>
        <w:t>Public History Capstone: Source Dossier and Defense</w:t>
      </w:r>
    </w:p>
    <w:p>
      <w:r>
        <w:rPr>
          <w:b/>
        </w:rPr>
        <w:t xml:space="preserve">Fall 2026 deadline: </w:t>
      </w:r>
      <w:r>
        <w:t>Friday, November 6, 2026, 11:59 pm Central</w:t>
      </w:r>
    </w:p>
    <w:p>
      <w:r>
        <w:rPr>
          <w:b/>
        </w:rPr>
        <w:t xml:space="preserve">Automatic grace period: </w:t>
      </w:r>
      <w:r>
        <w:t>through Sunday, November 8, 2026, 11:59 pm Central; no permission or penalty. Work closes after Sunday absent pre-approval or extenuating circumstances.</w:t>
      </w:r>
    </w:p>
    <w:p>
      <w:r>
        <w:rPr>
          <w:b/>
        </w:rPr>
        <w:t xml:space="preserve">Purpose: </w:t>
      </w:r>
      <w:r>
        <w:t>Build and defend a credible, ethical research base before production.</w:t>
      </w:r>
    </w:p>
    <w:p>
      <w:r>
        <w:rPr>
          <w:b/>
        </w:rPr>
        <w:t xml:space="preserve">Task: </w:t>
      </w:r>
      <w:r>
        <w:t>Submit an annotated dossier of at least eight primary sources and five scholarly sources. For each, document provenance, relevance, limits, and intended use. Include rights/permissions and access checks, then complete a source defense and Decision Record.</w:t>
      </w:r>
    </w:p>
    <w:p>
      <w:r>
        <w:rPr>
          <w:b/>
        </w:rPr>
        <w:t xml:space="preserve">Submission: </w:t>
      </w:r>
      <w:r>
        <w:t>File upload.</w:t>
      </w:r>
    </w:p>
    <w:p>
      <w:r>
        <w:rPr>
          <w:b/>
        </w:rPr>
        <w:t xml:space="preserve">AI boundary: </w:t>
      </w:r>
      <w:r>
        <w:t>AI may suggest repository search terms. It may not write annotations, invent provenance, assess rights, or receive restricted material.</w:t>
      </w:r>
    </w:p>
    <w:p>
      <w:r>
        <w:t>Criteria:</w:t>
      </w:r>
    </w:p>
    <w:p>
      <w:pPr>
        <w:keepLines/>
        <w:spacing w:after="30"/>
        <w:ind w:left="317" w:hanging="230"/>
      </w:pPr>
      <w:r>
        <w:rPr>
          <w:b/>
        </w:rPr>
        <w:t xml:space="preserve">• </w:t>
      </w:r>
      <w:r>
        <w:t>Primary-source base (5)</w:t>
      </w:r>
    </w:p>
    <w:p>
      <w:pPr>
        <w:keepLines/>
        <w:spacing w:after="30"/>
        <w:ind w:left="317" w:hanging="230"/>
      </w:pPr>
      <w:r>
        <w:rPr>
          <w:b/>
        </w:rPr>
        <w:t xml:space="preserve">• </w:t>
      </w:r>
      <w:r>
        <w:t>Scholarly conversation (5)</w:t>
      </w:r>
    </w:p>
    <w:p>
      <w:pPr>
        <w:keepLines/>
        <w:spacing w:after="30"/>
        <w:ind w:left="317" w:hanging="230"/>
      </w:pPr>
      <w:r>
        <w:rPr>
          <w:b/>
        </w:rPr>
        <w:t xml:space="preserve">• </w:t>
      </w:r>
      <w:r>
        <w:t>Provenance, rights, and access checks (3)</w:t>
      </w:r>
    </w:p>
    <w:p>
      <w:pPr>
        <w:keepLines/>
        <w:spacing w:after="30"/>
        <w:ind w:left="317" w:hanging="230"/>
      </w:pPr>
      <w:r>
        <w:rPr>
          <w:b/>
        </w:rPr>
        <w:t xml:space="preserve">• </w:t>
      </w:r>
      <w:r>
        <w:t>Source defense (5)</w:t>
      </w:r>
    </w:p>
    <w:p>
      <w:pPr>
        <w:keepLines/>
        <w:spacing w:after="30"/>
        <w:ind w:left="317" w:hanging="230"/>
      </w:pPr>
      <w:r>
        <w:rPr>
          <w:b/>
        </w:rPr>
        <w:t xml:space="preserve">• </w:t>
      </w:r>
      <w:r>
        <w:t>Decision Record (2)</w:t>
      </w:r>
    </w:p>
    <w:tbl>
      <w:tblPr>
        <w:tblStyle w:val="TableGrid"/>
        <w:tblW w:type="auto" w:w="0"/>
        <w:jc w:val="center"/>
        <w:tblLook w:firstColumn="1" w:firstRow="1" w:lastColumn="0" w:lastRow="0" w:noHBand="0" w:noVBand="1" w:val="04A0"/>
      </w:tblPr>
      <w:tblGrid>
        <w:gridCol w:w="5083"/>
        <w:gridCol w:w="5083"/>
      </w:tblGrid>
      <w:tr>
        <w:trPr>
          <w:tblHeader w:val="true"/>
          <w:cantSplit w:val="true"/>
        </w:trPr>
        <w:tc>
          <w:tcPr>
            <w:tcW w:type="dxa" w:w="1584"/>
            <w:shd w:fill="24364B"/>
            <w:vAlign w:val="center"/>
            <w:tcMar>
              <w:top w:w="60" w:type="dxa"/>
              <w:start w:w="80" w:type="dxa"/>
              <w:bottom w:w="60" w:type="dxa"/>
              <w:end w:w="80" w:type="dxa"/>
            </w:tcMar>
          </w:tcPr>
          <w:p>
            <w:r>
              <w:rPr>
                <w:b/>
                <w:color w:val="FFFFFF"/>
                <w:sz w:val="16"/>
              </w:rPr>
              <w:t>Level</w:t>
            </w:r>
          </w:p>
        </w:tc>
        <w:tc>
          <w:tcPr>
            <w:tcW w:type="dxa" w:w="9072"/>
            <w:shd w:fill="24364B"/>
            <w:vAlign w:val="center"/>
            <w:tcMar>
              <w:top w:w="60" w:type="dxa"/>
              <w:start w:w="80" w:type="dxa"/>
              <w:bottom w:w="60" w:type="dxa"/>
              <w:end w:w="80" w:type="dxa"/>
            </w:tcMar>
          </w:tcPr>
          <w:p>
            <w:r>
              <w:rPr>
                <w:b/>
                <w:color w:val="FFFFFF"/>
                <w:sz w:val="16"/>
              </w:rPr>
              <w:t>Descriptor</w:t>
            </w:r>
          </w:p>
        </w:tc>
      </w:tr>
      <w:tr>
        <w:trPr>
          <w:cantSplit w:val="true"/>
        </w:trPr>
        <w:tc>
          <w:tcPr>
            <w:tcW w:type="dxa" w:w="1584"/>
            <w:vAlign w:val="top"/>
            <w:tcMar>
              <w:top w:w="60" w:type="dxa"/>
              <w:start w:w="80" w:type="dxa"/>
              <w:bottom w:w="60" w:type="dxa"/>
              <w:end w:w="80" w:type="dxa"/>
            </w:tcMar>
          </w:tcPr>
          <w:p>
            <w:pPr>
              <w:spacing w:after="20"/>
            </w:pPr>
            <w:r>
              <w:rPr>
                <w:sz w:val="16"/>
              </w:rPr>
              <w:t>Exemplary</w:t>
            </w:r>
          </w:p>
        </w:tc>
        <w:tc>
          <w:tcPr>
            <w:tcW w:type="dxa" w:w="9072"/>
            <w:vAlign w:val="top"/>
            <w:tcMar>
              <w:top w:w="60" w:type="dxa"/>
              <w:start w:w="80" w:type="dxa"/>
              <w:bottom w:w="60" w:type="dxa"/>
              <w:end w:w="80" w:type="dxa"/>
            </w:tcMar>
          </w:tcPr>
          <w:p>
            <w:pPr>
              <w:spacing w:after="20"/>
            </w:pPr>
            <w:r>
              <w:rPr>
                <w:sz w:val="16"/>
              </w:rPr>
              <w:t>Precise, persuasive, well-evidenced, attentive to source limits, and audience-ready.</w:t>
            </w:r>
          </w:p>
        </w:tc>
      </w:tr>
      <w:tr>
        <w:trPr>
          <w:cantSplit w:val="true"/>
        </w:trPr>
        <w:tc>
          <w:tcPr>
            <w:tcW w:type="dxa" w:w="1584"/>
            <w:vAlign w:val="top"/>
            <w:shd w:fill="F7F3EA"/>
            <w:tcMar>
              <w:top w:w="60" w:type="dxa"/>
              <w:start w:w="80" w:type="dxa"/>
              <w:bottom w:w="60" w:type="dxa"/>
              <w:end w:w="80" w:type="dxa"/>
            </w:tcMar>
          </w:tcPr>
          <w:p>
            <w:pPr>
              <w:spacing w:after="20"/>
            </w:pPr>
            <w:r>
              <w:rPr>
                <w:sz w:val="16"/>
              </w:rPr>
              <w:t>Proficient</w:t>
            </w:r>
          </w:p>
        </w:tc>
        <w:tc>
          <w:tcPr>
            <w:tcW w:type="dxa" w:w="9072"/>
            <w:vAlign w:val="top"/>
            <w:shd w:fill="F7F3EA"/>
            <w:tcMar>
              <w:top w:w="60" w:type="dxa"/>
              <w:start w:w="80" w:type="dxa"/>
              <w:bottom w:w="60" w:type="dxa"/>
              <w:end w:w="80" w:type="dxa"/>
            </w:tcMar>
          </w:tcPr>
          <w:p>
            <w:pPr>
              <w:spacing w:after="20"/>
            </w:pPr>
            <w:r>
              <w:rPr>
                <w:sz w:val="16"/>
              </w:rPr>
              <w:t>Clear and accurate with relevant evidence; minor gaps do not undermine the interpretation.</w:t>
            </w:r>
          </w:p>
        </w:tc>
      </w:tr>
      <w:tr>
        <w:trPr>
          <w:cantSplit w:val="true"/>
        </w:trPr>
        <w:tc>
          <w:tcPr>
            <w:tcW w:type="dxa" w:w="1584"/>
            <w:vAlign w:val="top"/>
            <w:tcMar>
              <w:top w:w="60" w:type="dxa"/>
              <w:start w:w="80" w:type="dxa"/>
              <w:bottom w:w="60" w:type="dxa"/>
              <w:end w:w="80" w:type="dxa"/>
            </w:tcMar>
          </w:tcPr>
          <w:p>
            <w:pPr>
              <w:spacing w:after="20"/>
            </w:pPr>
            <w:r>
              <w:rPr>
                <w:sz w:val="16"/>
              </w:rPr>
              <w:t>Developing</w:t>
            </w:r>
          </w:p>
        </w:tc>
        <w:tc>
          <w:tcPr>
            <w:tcW w:type="dxa" w:w="9072"/>
            <w:vAlign w:val="top"/>
            <w:tcMar>
              <w:top w:w="60" w:type="dxa"/>
              <w:start w:w="80" w:type="dxa"/>
              <w:bottom w:w="60" w:type="dxa"/>
              <w:end w:w="80" w:type="dxa"/>
            </w:tcMar>
          </w:tcPr>
          <w:p>
            <w:pPr>
              <w:spacing w:after="20"/>
            </w:pPr>
            <w:r>
              <w:rPr>
                <w:sz w:val="16"/>
              </w:rPr>
              <w:t>A plausible direction with uneven evidence, context, synthesis, or communication.</w:t>
            </w:r>
          </w:p>
        </w:tc>
      </w:tr>
      <w:tr>
        <w:trPr>
          <w:cantSplit w:val="true"/>
        </w:trPr>
        <w:tc>
          <w:tcPr>
            <w:tcW w:type="dxa" w:w="1584"/>
            <w:vAlign w:val="top"/>
            <w:shd w:fill="F7F3EA"/>
            <w:tcMar>
              <w:top w:w="60" w:type="dxa"/>
              <w:start w:w="80" w:type="dxa"/>
              <w:bottom w:w="60" w:type="dxa"/>
              <w:end w:w="80" w:type="dxa"/>
            </w:tcMar>
          </w:tcPr>
          <w:p>
            <w:pPr>
              <w:spacing w:after="20"/>
            </w:pPr>
            <w:r>
              <w:rPr>
                <w:sz w:val="16"/>
              </w:rPr>
              <w:t>Beginning</w:t>
            </w:r>
          </w:p>
        </w:tc>
        <w:tc>
          <w:tcPr>
            <w:tcW w:type="dxa" w:w="9072"/>
            <w:vAlign w:val="top"/>
            <w:shd w:fill="F7F3EA"/>
            <w:tcMar>
              <w:top w:w="60" w:type="dxa"/>
              <w:start w:w="80" w:type="dxa"/>
              <w:bottom w:w="60" w:type="dxa"/>
              <w:end w:w="80" w:type="dxa"/>
            </w:tcMar>
          </w:tcPr>
          <w:p>
            <w:pPr>
              <w:spacing w:after="20"/>
            </w:pPr>
            <w:r>
              <w:rPr>
                <w:sz w:val="16"/>
              </w:rPr>
              <w:t>Minimal, inaccurate, unsupported, incomplete, or not yet aligned with the task.</w:t>
            </w:r>
          </w:p>
        </w:tc>
      </w:tr>
    </w:tbl>
    <w:p>
      <w:pPr>
        <w:spacing w:after="20"/>
      </w:pPr>
    </w:p>
    <w:p>
      <w:pPr>
        <w:pStyle w:val="Heading2"/>
      </w:pPr>
      <w:r>
        <w:t>Public History Capstone: Interpretive Artifact and Decision Log</w:t>
      </w:r>
    </w:p>
    <w:p>
      <w:r>
        <w:rPr>
          <w:b/>
        </w:rPr>
        <w:t xml:space="preserve">Fall 2026 deadline: </w:t>
      </w:r>
      <w:r>
        <w:t>Friday, November 20, 2026, 11:59 pm Central</w:t>
      </w:r>
    </w:p>
    <w:p>
      <w:r>
        <w:rPr>
          <w:b/>
        </w:rPr>
        <w:t xml:space="preserve">Automatic grace period: </w:t>
      </w:r>
      <w:r>
        <w:t>through Sunday, November 22, 2026, 11:59 pm Central; no permission or penalty. Work closes after Sunday absent pre-approval or extenuating circumstances.</w:t>
      </w:r>
    </w:p>
    <w:p>
      <w:r>
        <w:rPr>
          <w:b/>
        </w:rPr>
        <w:t xml:space="preserve">Purpose: </w:t>
      </w:r>
      <w:r>
        <w:t>Produce rigorous, accessible history for a defined public audience.</w:t>
      </w:r>
    </w:p>
    <w:p>
      <w:r>
        <w:rPr>
          <w:b/>
        </w:rPr>
        <w:t xml:space="preserve">Task: </w:t>
      </w:r>
      <w:r>
        <w:t>Create an approved public artifact with a clear historical claim, primary-source warrants, engagement with scholarship, counterevidence or uncertainty, audience rationale, and access/rights documentation. Submit a production decision log and the common Decision Record.</w:t>
      </w:r>
    </w:p>
    <w:p>
      <w:r>
        <w:rPr>
          <w:b/>
        </w:rPr>
        <w:t xml:space="preserve">Submission: </w:t>
      </w:r>
      <w:r>
        <w:t>File or website URL plus accessible backup PDF/transcript.</w:t>
      </w:r>
    </w:p>
    <w:p>
      <w:r>
        <w:rPr>
          <w:b/>
        </w:rPr>
        <w:t xml:space="preserve">AI boundary: </w:t>
      </w:r>
      <w:r>
        <w:t>AI may help with organization, copyediting, troubleshooting, or accessibility only after interpretation is established. It may not generate the thesis, evidence claims, narrator voice, or ethical decisions.</w:t>
      </w:r>
    </w:p>
    <w:p>
      <w:r>
        <w:t>Criteria:</w:t>
      </w:r>
    </w:p>
    <w:p>
      <w:pPr>
        <w:keepLines/>
        <w:spacing w:after="30"/>
        <w:ind w:left="317" w:hanging="230"/>
      </w:pPr>
      <w:r>
        <w:rPr>
          <w:b/>
        </w:rPr>
        <w:t xml:space="preserve">• </w:t>
      </w:r>
      <w:r>
        <w:t>Historical claim and accuracy (10)</w:t>
      </w:r>
    </w:p>
    <w:p>
      <w:pPr>
        <w:keepLines/>
        <w:spacing w:after="30"/>
        <w:ind w:left="317" w:hanging="230"/>
      </w:pPr>
      <w:r>
        <w:rPr>
          <w:b/>
        </w:rPr>
        <w:t xml:space="preserve">• </w:t>
      </w:r>
      <w:r>
        <w:t>Evidence warrants and counterevidence (8)</w:t>
      </w:r>
    </w:p>
    <w:p>
      <w:pPr>
        <w:keepLines/>
        <w:spacing w:after="30"/>
        <w:ind w:left="317" w:hanging="230"/>
      </w:pPr>
      <w:r>
        <w:rPr>
          <w:b/>
        </w:rPr>
        <w:t xml:space="preserve">• </w:t>
      </w:r>
      <w:r>
        <w:t>Scholarship and context (6)</w:t>
      </w:r>
    </w:p>
    <w:p>
      <w:pPr>
        <w:keepLines/>
        <w:spacing w:after="30"/>
        <w:ind w:left="317" w:hanging="230"/>
      </w:pPr>
      <w:r>
        <w:rPr>
          <w:b/>
        </w:rPr>
        <w:t xml:space="preserve">• </w:t>
      </w:r>
      <w:r>
        <w:t>Audience, access, and rights (5)</w:t>
      </w:r>
    </w:p>
    <w:p>
      <w:pPr>
        <w:keepLines/>
        <w:spacing w:after="30"/>
        <w:ind w:left="317" w:hanging="230"/>
      </w:pPr>
      <w:r>
        <w:rPr>
          <w:b/>
        </w:rPr>
        <w:t xml:space="preserve">• </w:t>
      </w:r>
      <w:r>
        <w:t>Decision log and Decision Record (6)</w:t>
      </w:r>
    </w:p>
    <w:tbl>
      <w:tblPr>
        <w:tblStyle w:val="TableGrid"/>
        <w:tblW w:type="auto" w:w="0"/>
        <w:jc w:val="center"/>
        <w:tblLook w:firstColumn="1" w:firstRow="1" w:lastColumn="0" w:lastRow="0" w:noHBand="0" w:noVBand="1" w:val="04A0"/>
      </w:tblPr>
      <w:tblGrid>
        <w:gridCol w:w="5083"/>
        <w:gridCol w:w="5083"/>
      </w:tblGrid>
      <w:tr>
        <w:trPr>
          <w:tblHeader w:val="true"/>
          <w:cantSplit w:val="true"/>
        </w:trPr>
        <w:tc>
          <w:tcPr>
            <w:tcW w:type="dxa" w:w="1584"/>
            <w:shd w:fill="24364B"/>
            <w:vAlign w:val="center"/>
            <w:tcMar>
              <w:top w:w="60" w:type="dxa"/>
              <w:start w:w="80" w:type="dxa"/>
              <w:bottom w:w="60" w:type="dxa"/>
              <w:end w:w="80" w:type="dxa"/>
            </w:tcMar>
          </w:tcPr>
          <w:p>
            <w:r>
              <w:rPr>
                <w:b/>
                <w:color w:val="FFFFFF"/>
                <w:sz w:val="16"/>
              </w:rPr>
              <w:t>Level</w:t>
            </w:r>
          </w:p>
        </w:tc>
        <w:tc>
          <w:tcPr>
            <w:tcW w:type="dxa" w:w="9072"/>
            <w:shd w:fill="24364B"/>
            <w:vAlign w:val="center"/>
            <w:tcMar>
              <w:top w:w="60" w:type="dxa"/>
              <w:start w:w="80" w:type="dxa"/>
              <w:bottom w:w="60" w:type="dxa"/>
              <w:end w:w="80" w:type="dxa"/>
            </w:tcMar>
          </w:tcPr>
          <w:p>
            <w:r>
              <w:rPr>
                <w:b/>
                <w:color w:val="FFFFFF"/>
                <w:sz w:val="16"/>
              </w:rPr>
              <w:t>Descriptor</w:t>
            </w:r>
          </w:p>
        </w:tc>
      </w:tr>
      <w:tr>
        <w:trPr>
          <w:cantSplit w:val="true"/>
        </w:trPr>
        <w:tc>
          <w:tcPr>
            <w:tcW w:type="dxa" w:w="1584"/>
            <w:vAlign w:val="top"/>
            <w:tcMar>
              <w:top w:w="60" w:type="dxa"/>
              <w:start w:w="80" w:type="dxa"/>
              <w:bottom w:w="60" w:type="dxa"/>
              <w:end w:w="80" w:type="dxa"/>
            </w:tcMar>
          </w:tcPr>
          <w:p>
            <w:pPr>
              <w:spacing w:after="20"/>
            </w:pPr>
            <w:r>
              <w:rPr>
                <w:sz w:val="16"/>
              </w:rPr>
              <w:t>Exemplary</w:t>
            </w:r>
          </w:p>
        </w:tc>
        <w:tc>
          <w:tcPr>
            <w:tcW w:type="dxa" w:w="9072"/>
            <w:vAlign w:val="top"/>
            <w:tcMar>
              <w:top w:w="60" w:type="dxa"/>
              <w:start w:w="80" w:type="dxa"/>
              <w:bottom w:w="60" w:type="dxa"/>
              <w:end w:w="80" w:type="dxa"/>
            </w:tcMar>
          </w:tcPr>
          <w:p>
            <w:pPr>
              <w:spacing w:after="20"/>
            </w:pPr>
            <w:r>
              <w:rPr>
                <w:sz w:val="16"/>
              </w:rPr>
              <w:t>Precise, persuasive, well-evidenced, attentive to source limits, and audience-ready.</w:t>
            </w:r>
          </w:p>
        </w:tc>
      </w:tr>
      <w:tr>
        <w:trPr>
          <w:cantSplit w:val="true"/>
        </w:trPr>
        <w:tc>
          <w:tcPr>
            <w:tcW w:type="dxa" w:w="1584"/>
            <w:vAlign w:val="top"/>
            <w:shd w:fill="F7F3EA"/>
            <w:tcMar>
              <w:top w:w="60" w:type="dxa"/>
              <w:start w:w="80" w:type="dxa"/>
              <w:bottom w:w="60" w:type="dxa"/>
              <w:end w:w="80" w:type="dxa"/>
            </w:tcMar>
          </w:tcPr>
          <w:p>
            <w:pPr>
              <w:spacing w:after="20"/>
            </w:pPr>
            <w:r>
              <w:rPr>
                <w:sz w:val="16"/>
              </w:rPr>
              <w:t>Proficient</w:t>
            </w:r>
          </w:p>
        </w:tc>
        <w:tc>
          <w:tcPr>
            <w:tcW w:type="dxa" w:w="9072"/>
            <w:vAlign w:val="top"/>
            <w:shd w:fill="F7F3EA"/>
            <w:tcMar>
              <w:top w:w="60" w:type="dxa"/>
              <w:start w:w="80" w:type="dxa"/>
              <w:bottom w:w="60" w:type="dxa"/>
              <w:end w:w="80" w:type="dxa"/>
            </w:tcMar>
          </w:tcPr>
          <w:p>
            <w:pPr>
              <w:spacing w:after="20"/>
            </w:pPr>
            <w:r>
              <w:rPr>
                <w:sz w:val="16"/>
              </w:rPr>
              <w:t>Clear and accurate with relevant evidence; minor gaps do not undermine the interpretation.</w:t>
            </w:r>
          </w:p>
        </w:tc>
      </w:tr>
      <w:tr>
        <w:trPr>
          <w:cantSplit w:val="true"/>
        </w:trPr>
        <w:tc>
          <w:tcPr>
            <w:tcW w:type="dxa" w:w="1584"/>
            <w:vAlign w:val="top"/>
            <w:tcMar>
              <w:top w:w="60" w:type="dxa"/>
              <w:start w:w="80" w:type="dxa"/>
              <w:bottom w:w="60" w:type="dxa"/>
              <w:end w:w="80" w:type="dxa"/>
            </w:tcMar>
          </w:tcPr>
          <w:p>
            <w:pPr>
              <w:spacing w:after="20"/>
            </w:pPr>
            <w:r>
              <w:rPr>
                <w:sz w:val="16"/>
              </w:rPr>
              <w:t>Developing</w:t>
            </w:r>
          </w:p>
        </w:tc>
        <w:tc>
          <w:tcPr>
            <w:tcW w:type="dxa" w:w="9072"/>
            <w:vAlign w:val="top"/>
            <w:tcMar>
              <w:top w:w="60" w:type="dxa"/>
              <w:start w:w="80" w:type="dxa"/>
              <w:bottom w:w="60" w:type="dxa"/>
              <w:end w:w="80" w:type="dxa"/>
            </w:tcMar>
          </w:tcPr>
          <w:p>
            <w:pPr>
              <w:spacing w:after="20"/>
            </w:pPr>
            <w:r>
              <w:rPr>
                <w:sz w:val="16"/>
              </w:rPr>
              <w:t>A plausible direction with uneven evidence, context, synthesis, or communication.</w:t>
            </w:r>
          </w:p>
        </w:tc>
      </w:tr>
      <w:tr>
        <w:trPr>
          <w:cantSplit w:val="true"/>
        </w:trPr>
        <w:tc>
          <w:tcPr>
            <w:tcW w:type="dxa" w:w="1584"/>
            <w:vAlign w:val="top"/>
            <w:shd w:fill="F7F3EA"/>
            <w:tcMar>
              <w:top w:w="60" w:type="dxa"/>
              <w:start w:w="80" w:type="dxa"/>
              <w:bottom w:w="60" w:type="dxa"/>
              <w:end w:w="80" w:type="dxa"/>
            </w:tcMar>
          </w:tcPr>
          <w:p>
            <w:pPr>
              <w:spacing w:after="20"/>
            </w:pPr>
            <w:r>
              <w:rPr>
                <w:sz w:val="16"/>
              </w:rPr>
              <w:t>Beginning</w:t>
            </w:r>
          </w:p>
        </w:tc>
        <w:tc>
          <w:tcPr>
            <w:tcW w:type="dxa" w:w="9072"/>
            <w:vAlign w:val="top"/>
            <w:shd w:fill="F7F3EA"/>
            <w:tcMar>
              <w:top w:w="60" w:type="dxa"/>
              <w:start w:w="80" w:type="dxa"/>
              <w:bottom w:w="60" w:type="dxa"/>
              <w:end w:w="80" w:type="dxa"/>
            </w:tcMar>
          </w:tcPr>
          <w:p>
            <w:pPr>
              <w:spacing w:after="20"/>
            </w:pPr>
            <w:r>
              <w:rPr>
                <w:sz w:val="16"/>
              </w:rPr>
              <w:t>Minimal, inaccurate, unsupported, incomplete, or not yet aligned with the task.</w:t>
            </w:r>
          </w:p>
        </w:tc>
      </w:tr>
    </w:tbl>
    <w:p>
      <w:pPr>
        <w:spacing w:after="20"/>
      </w:pPr>
    </w:p>
    <w:p>
      <w:pPr>
        <w:pStyle w:val="Heading2"/>
      </w:pPr>
      <w:r>
        <w:t>Public History Capstone: Showcase and Oral Defense</w:t>
      </w:r>
    </w:p>
    <w:p>
      <w:r>
        <w:rPr>
          <w:b/>
        </w:rPr>
        <w:t xml:space="preserve">Fall 2026 deadline: </w:t>
      </w:r>
      <w:r>
        <w:t>Friday, December 4, 2026, 11:59 pm Central</w:t>
      </w:r>
    </w:p>
    <w:p>
      <w:r>
        <w:rPr>
          <w:b/>
        </w:rPr>
        <w:t xml:space="preserve">Automatic grace period: </w:t>
      </w:r>
      <w:r>
        <w:t>through Sunday, December 6, 2026, 11:59 pm Central; no permission or penalty. Work closes after Sunday absent pre-approval or extenuating circumstances.</w:t>
      </w:r>
    </w:p>
    <w:p>
      <w:r>
        <w:rPr>
          <w:b/>
        </w:rPr>
        <w:t xml:space="preserve">Purpose: </w:t>
      </w:r>
      <w:r>
        <w:t>Defend evidentiary, interpretive, audience, and ethical choices under questioning.</w:t>
      </w:r>
    </w:p>
    <w:p>
      <w:r>
        <w:rPr>
          <w:b/>
        </w:rPr>
        <w:t xml:space="preserve">Task: </w:t>
      </w:r>
      <w:r>
        <w:t>Present the artifact, explain the central claim and strongest evidence, respond to unanticipated questions, identify a revision decision, and provide accessible final materials. Defenses occur during the December 1 and 3 class meetings.</w:t>
      </w:r>
    </w:p>
    <w:p>
      <w:r>
        <w:rPr>
          <w:b/>
        </w:rPr>
        <w:t xml:space="preserve">Submission: </w:t>
      </w:r>
      <w:r>
        <w:t>In-class presentation; upload slides or speaking notes if used.</w:t>
      </w:r>
    </w:p>
    <w:p>
      <w:r>
        <w:rPr>
          <w:b/>
        </w:rPr>
        <w:t xml:space="preserve">AI boundary: </w:t>
      </w:r>
      <w:r>
        <w:t>No generative AI during the showcase or oral defense. Prepared slides remain subject to the course AI policy and Decision Record.</w:t>
      </w:r>
    </w:p>
    <w:p>
      <w:r>
        <w:t>Criteria:</w:t>
      </w:r>
    </w:p>
    <w:p>
      <w:pPr>
        <w:keepLines/>
        <w:spacing w:after="30"/>
        <w:ind w:left="317" w:hanging="230"/>
      </w:pPr>
      <w:r>
        <w:rPr>
          <w:b/>
        </w:rPr>
        <w:t xml:space="preserve">• </w:t>
      </w:r>
      <w:r>
        <w:t>Public claim and framing (5)</w:t>
      </w:r>
    </w:p>
    <w:p>
      <w:pPr>
        <w:keepLines/>
        <w:spacing w:after="30"/>
        <w:ind w:left="317" w:hanging="230"/>
      </w:pPr>
      <w:r>
        <w:rPr>
          <w:b/>
        </w:rPr>
        <w:t xml:space="preserve">• </w:t>
      </w:r>
      <w:r>
        <w:t>Evidence explanation (8)</w:t>
      </w:r>
    </w:p>
    <w:p>
      <w:pPr>
        <w:keepLines/>
        <w:spacing w:after="30"/>
        <w:ind w:left="317" w:hanging="230"/>
      </w:pPr>
      <w:r>
        <w:rPr>
          <w:b/>
        </w:rPr>
        <w:t xml:space="preserve">• </w:t>
      </w:r>
      <w:r>
        <w:t>Interpretive and ethical judgment (8)</w:t>
      </w:r>
    </w:p>
    <w:p>
      <w:pPr>
        <w:keepLines/>
        <w:spacing w:after="30"/>
        <w:ind w:left="317" w:hanging="230"/>
      </w:pPr>
      <w:r>
        <w:rPr>
          <w:b/>
        </w:rPr>
        <w:t xml:space="preserve">• </w:t>
      </w:r>
      <w:r>
        <w:t>Response to questions (10)</w:t>
      </w:r>
    </w:p>
    <w:p>
      <w:pPr>
        <w:keepLines/>
        <w:spacing w:after="30"/>
        <w:ind w:left="317" w:hanging="230"/>
      </w:pPr>
      <w:r>
        <w:rPr>
          <w:b/>
        </w:rPr>
        <w:t xml:space="preserve">• </w:t>
      </w:r>
      <w:r>
        <w:t>Accessible delivery and materials (4)</w:t>
      </w:r>
    </w:p>
    <w:tbl>
      <w:tblPr>
        <w:tblStyle w:val="TableGrid"/>
        <w:tblW w:type="auto" w:w="0"/>
        <w:jc w:val="center"/>
        <w:tblLook w:firstColumn="1" w:firstRow="1" w:lastColumn="0" w:lastRow="0" w:noHBand="0" w:noVBand="1" w:val="04A0"/>
      </w:tblPr>
      <w:tblGrid>
        <w:gridCol w:w="5083"/>
        <w:gridCol w:w="5083"/>
      </w:tblGrid>
      <w:tr>
        <w:trPr>
          <w:tblHeader w:val="true"/>
          <w:cantSplit w:val="true"/>
        </w:trPr>
        <w:tc>
          <w:tcPr>
            <w:tcW w:type="dxa" w:w="1584"/>
            <w:shd w:fill="24364B"/>
            <w:vAlign w:val="center"/>
            <w:tcMar>
              <w:top w:w="60" w:type="dxa"/>
              <w:start w:w="80" w:type="dxa"/>
              <w:bottom w:w="60" w:type="dxa"/>
              <w:end w:w="80" w:type="dxa"/>
            </w:tcMar>
          </w:tcPr>
          <w:p>
            <w:r>
              <w:rPr>
                <w:b/>
                <w:color w:val="FFFFFF"/>
                <w:sz w:val="16"/>
              </w:rPr>
              <w:t>Level</w:t>
            </w:r>
          </w:p>
        </w:tc>
        <w:tc>
          <w:tcPr>
            <w:tcW w:type="dxa" w:w="9072"/>
            <w:shd w:fill="24364B"/>
            <w:vAlign w:val="center"/>
            <w:tcMar>
              <w:top w:w="60" w:type="dxa"/>
              <w:start w:w="80" w:type="dxa"/>
              <w:bottom w:w="60" w:type="dxa"/>
              <w:end w:w="80" w:type="dxa"/>
            </w:tcMar>
          </w:tcPr>
          <w:p>
            <w:r>
              <w:rPr>
                <w:b/>
                <w:color w:val="FFFFFF"/>
                <w:sz w:val="16"/>
              </w:rPr>
              <w:t>Descriptor</w:t>
            </w:r>
          </w:p>
        </w:tc>
      </w:tr>
      <w:tr>
        <w:trPr>
          <w:cantSplit w:val="true"/>
        </w:trPr>
        <w:tc>
          <w:tcPr>
            <w:tcW w:type="dxa" w:w="1584"/>
            <w:vAlign w:val="top"/>
            <w:tcMar>
              <w:top w:w="60" w:type="dxa"/>
              <w:start w:w="80" w:type="dxa"/>
              <w:bottom w:w="60" w:type="dxa"/>
              <w:end w:w="80" w:type="dxa"/>
            </w:tcMar>
          </w:tcPr>
          <w:p>
            <w:pPr>
              <w:spacing w:after="20"/>
            </w:pPr>
            <w:r>
              <w:rPr>
                <w:sz w:val="16"/>
              </w:rPr>
              <w:t>Exemplary</w:t>
            </w:r>
          </w:p>
        </w:tc>
        <w:tc>
          <w:tcPr>
            <w:tcW w:type="dxa" w:w="9072"/>
            <w:vAlign w:val="top"/>
            <w:tcMar>
              <w:top w:w="60" w:type="dxa"/>
              <w:start w:w="80" w:type="dxa"/>
              <w:bottom w:w="60" w:type="dxa"/>
              <w:end w:w="80" w:type="dxa"/>
            </w:tcMar>
          </w:tcPr>
          <w:p>
            <w:pPr>
              <w:spacing w:after="20"/>
            </w:pPr>
            <w:r>
              <w:rPr>
                <w:sz w:val="16"/>
              </w:rPr>
              <w:t>Precise, persuasive, well-evidenced, attentive to source limits, and audience-ready.</w:t>
            </w:r>
          </w:p>
        </w:tc>
      </w:tr>
      <w:tr>
        <w:trPr>
          <w:cantSplit w:val="true"/>
        </w:trPr>
        <w:tc>
          <w:tcPr>
            <w:tcW w:type="dxa" w:w="1584"/>
            <w:vAlign w:val="top"/>
            <w:shd w:fill="F7F3EA"/>
            <w:tcMar>
              <w:top w:w="60" w:type="dxa"/>
              <w:start w:w="80" w:type="dxa"/>
              <w:bottom w:w="60" w:type="dxa"/>
              <w:end w:w="80" w:type="dxa"/>
            </w:tcMar>
          </w:tcPr>
          <w:p>
            <w:pPr>
              <w:spacing w:after="20"/>
            </w:pPr>
            <w:r>
              <w:rPr>
                <w:sz w:val="16"/>
              </w:rPr>
              <w:t>Proficient</w:t>
            </w:r>
          </w:p>
        </w:tc>
        <w:tc>
          <w:tcPr>
            <w:tcW w:type="dxa" w:w="9072"/>
            <w:vAlign w:val="top"/>
            <w:shd w:fill="F7F3EA"/>
            <w:tcMar>
              <w:top w:w="60" w:type="dxa"/>
              <w:start w:w="80" w:type="dxa"/>
              <w:bottom w:w="60" w:type="dxa"/>
              <w:end w:w="80" w:type="dxa"/>
            </w:tcMar>
          </w:tcPr>
          <w:p>
            <w:pPr>
              <w:spacing w:after="20"/>
            </w:pPr>
            <w:r>
              <w:rPr>
                <w:sz w:val="16"/>
              </w:rPr>
              <w:t>Clear and accurate with relevant evidence; minor gaps do not undermine the interpretation.</w:t>
            </w:r>
          </w:p>
        </w:tc>
      </w:tr>
      <w:tr>
        <w:trPr>
          <w:cantSplit w:val="true"/>
        </w:trPr>
        <w:tc>
          <w:tcPr>
            <w:tcW w:type="dxa" w:w="1584"/>
            <w:vAlign w:val="top"/>
            <w:tcMar>
              <w:top w:w="60" w:type="dxa"/>
              <w:start w:w="80" w:type="dxa"/>
              <w:bottom w:w="60" w:type="dxa"/>
              <w:end w:w="80" w:type="dxa"/>
            </w:tcMar>
          </w:tcPr>
          <w:p>
            <w:pPr>
              <w:spacing w:after="20"/>
            </w:pPr>
            <w:r>
              <w:rPr>
                <w:sz w:val="16"/>
              </w:rPr>
              <w:t>Developing</w:t>
            </w:r>
          </w:p>
        </w:tc>
        <w:tc>
          <w:tcPr>
            <w:tcW w:type="dxa" w:w="9072"/>
            <w:vAlign w:val="top"/>
            <w:tcMar>
              <w:top w:w="60" w:type="dxa"/>
              <w:start w:w="80" w:type="dxa"/>
              <w:bottom w:w="60" w:type="dxa"/>
              <w:end w:w="80" w:type="dxa"/>
            </w:tcMar>
          </w:tcPr>
          <w:p>
            <w:pPr>
              <w:spacing w:after="20"/>
            </w:pPr>
            <w:r>
              <w:rPr>
                <w:sz w:val="16"/>
              </w:rPr>
              <w:t>A plausible direction with uneven evidence, context, synthesis, or communication.</w:t>
            </w:r>
          </w:p>
        </w:tc>
      </w:tr>
      <w:tr>
        <w:trPr>
          <w:cantSplit w:val="true"/>
        </w:trPr>
        <w:tc>
          <w:tcPr>
            <w:tcW w:type="dxa" w:w="1584"/>
            <w:vAlign w:val="top"/>
            <w:shd w:fill="F7F3EA"/>
            <w:tcMar>
              <w:top w:w="60" w:type="dxa"/>
              <w:start w:w="80" w:type="dxa"/>
              <w:bottom w:w="60" w:type="dxa"/>
              <w:end w:w="80" w:type="dxa"/>
            </w:tcMar>
          </w:tcPr>
          <w:p>
            <w:pPr>
              <w:spacing w:after="20"/>
            </w:pPr>
            <w:r>
              <w:rPr>
                <w:sz w:val="16"/>
              </w:rPr>
              <w:t>Beginning</w:t>
            </w:r>
          </w:p>
        </w:tc>
        <w:tc>
          <w:tcPr>
            <w:tcW w:type="dxa" w:w="9072"/>
            <w:vAlign w:val="top"/>
            <w:shd w:fill="F7F3EA"/>
            <w:tcMar>
              <w:top w:w="60" w:type="dxa"/>
              <w:start w:w="80" w:type="dxa"/>
              <w:bottom w:w="60" w:type="dxa"/>
              <w:end w:w="80" w:type="dxa"/>
            </w:tcMar>
          </w:tcPr>
          <w:p>
            <w:pPr>
              <w:spacing w:after="20"/>
            </w:pPr>
            <w:r>
              <w:rPr>
                <w:sz w:val="16"/>
              </w:rPr>
              <w:t>Minimal, inaccurate, unsupported, incomplete, or not yet aligned with the task.</w:t>
            </w:r>
          </w:p>
        </w:tc>
      </w:tr>
    </w:tbl>
    <w:p>
      <w:pPr>
        <w:spacing w:after="20"/>
      </w:pPr>
    </w:p>
    <w:p>
      <w:pPr>
        <w:pStyle w:val="Heading2"/>
      </w:pPr>
      <w:r>
        <w:t>Seminar Practice and Reflection Portfolio</w:t>
      </w:r>
    </w:p>
    <w:p>
      <w:r>
        <w:rPr>
          <w:b/>
        </w:rPr>
        <w:t xml:space="preserve">Fall 2026 deadline: </w:t>
      </w:r>
      <w:r>
        <w:t>Friday, December 4, 2026, 11:59 pm Central</w:t>
      </w:r>
    </w:p>
    <w:p>
      <w:r>
        <w:rPr>
          <w:b/>
        </w:rPr>
        <w:t xml:space="preserve">Automatic grace period: </w:t>
      </w:r>
      <w:r>
        <w:t>through Sunday, December 6, 2026, 11:59 pm Central; no permission or penalty. Work closes after Sunday absent pre-approval or extenuating circumstances.</w:t>
      </w:r>
    </w:p>
    <w:p>
      <w:r>
        <w:rPr>
          <w:b/>
        </w:rPr>
        <w:t xml:space="preserve">Purpose: </w:t>
      </w:r>
      <w:r>
        <w:t>Make preparation, contribution, revision, and intellectual growth visible.</w:t>
      </w:r>
    </w:p>
    <w:p>
      <w:r>
        <w:rPr>
          <w:b/>
        </w:rPr>
        <w:t xml:space="preserve">Task: </w:t>
      </w:r>
      <w:r>
        <w:t>Submit a curated set of dated in-class artifacts, evidence of teach-backs, and a final evidence audit explaining how your historical questions and source practices changed. Defend the selection in a short conference.</w:t>
      </w:r>
    </w:p>
    <w:p>
      <w:r>
        <w:rPr>
          <w:b/>
        </w:rPr>
        <w:t xml:space="preserve">Submission: </w:t>
      </w:r>
      <w:r>
        <w:t>File upload.</w:t>
      </w:r>
    </w:p>
    <w:p>
      <w:r>
        <w:rPr>
          <w:b/>
        </w:rPr>
        <w:t xml:space="preserve">AI boundary: </w:t>
      </w:r>
      <w:r>
        <w:t>No AI for in-class artifacts or the conference. Sentence-level feedback may follow your own artifact selection and draft.</w:t>
      </w:r>
    </w:p>
    <w:p>
      <w:r>
        <w:t>Criteria:</w:t>
      </w:r>
    </w:p>
    <w:p>
      <w:pPr>
        <w:keepLines/>
        <w:spacing w:after="30"/>
        <w:ind w:left="317" w:hanging="230"/>
      </w:pPr>
      <w:r>
        <w:rPr>
          <w:b/>
        </w:rPr>
        <w:t xml:space="preserve">• </w:t>
      </w:r>
      <w:r>
        <w:t>Dated in-class artifacts and preparation (40)</w:t>
      </w:r>
    </w:p>
    <w:p>
      <w:pPr>
        <w:keepLines/>
        <w:spacing w:after="30"/>
        <w:ind w:left="317" w:hanging="230"/>
      </w:pPr>
      <w:r>
        <w:rPr>
          <w:b/>
        </w:rPr>
        <w:t xml:space="preserve">• </w:t>
      </w:r>
      <w:r>
        <w:t>Teach-backs and collaborative reasoning (30)</w:t>
      </w:r>
    </w:p>
    <w:p>
      <w:pPr>
        <w:keepLines/>
        <w:spacing w:after="30"/>
        <w:ind w:left="317" w:hanging="230"/>
      </w:pPr>
      <w:r>
        <w:rPr>
          <w:b/>
        </w:rPr>
        <w:t xml:space="preserve">• </w:t>
      </w:r>
      <w:r>
        <w:t>Evidence audit and final conference (30)</w:t>
      </w:r>
    </w:p>
    <w:tbl>
      <w:tblPr>
        <w:tblStyle w:val="TableGrid"/>
        <w:tblW w:type="auto" w:w="0"/>
        <w:jc w:val="center"/>
        <w:tblLook w:firstColumn="1" w:firstRow="1" w:lastColumn="0" w:lastRow="0" w:noHBand="0" w:noVBand="1" w:val="04A0"/>
      </w:tblPr>
      <w:tblGrid>
        <w:gridCol w:w="5083"/>
        <w:gridCol w:w="5083"/>
      </w:tblGrid>
      <w:tr>
        <w:trPr>
          <w:tblHeader w:val="true"/>
          <w:cantSplit w:val="true"/>
        </w:trPr>
        <w:tc>
          <w:tcPr>
            <w:tcW w:type="dxa" w:w="1584"/>
            <w:shd w:fill="24364B"/>
            <w:vAlign w:val="center"/>
            <w:tcMar>
              <w:top w:w="60" w:type="dxa"/>
              <w:start w:w="80" w:type="dxa"/>
              <w:bottom w:w="60" w:type="dxa"/>
              <w:end w:w="80" w:type="dxa"/>
            </w:tcMar>
          </w:tcPr>
          <w:p>
            <w:r>
              <w:rPr>
                <w:b/>
                <w:color w:val="FFFFFF"/>
                <w:sz w:val="16"/>
              </w:rPr>
              <w:t>Level</w:t>
            </w:r>
          </w:p>
        </w:tc>
        <w:tc>
          <w:tcPr>
            <w:tcW w:type="dxa" w:w="9072"/>
            <w:shd w:fill="24364B"/>
            <w:vAlign w:val="center"/>
            <w:tcMar>
              <w:top w:w="60" w:type="dxa"/>
              <w:start w:w="80" w:type="dxa"/>
              <w:bottom w:w="60" w:type="dxa"/>
              <w:end w:w="80" w:type="dxa"/>
            </w:tcMar>
          </w:tcPr>
          <w:p>
            <w:r>
              <w:rPr>
                <w:b/>
                <w:color w:val="FFFFFF"/>
                <w:sz w:val="16"/>
              </w:rPr>
              <w:t>Descriptor</w:t>
            </w:r>
          </w:p>
        </w:tc>
      </w:tr>
      <w:tr>
        <w:trPr>
          <w:cantSplit w:val="true"/>
        </w:trPr>
        <w:tc>
          <w:tcPr>
            <w:tcW w:type="dxa" w:w="1584"/>
            <w:vAlign w:val="top"/>
            <w:tcMar>
              <w:top w:w="60" w:type="dxa"/>
              <w:start w:w="80" w:type="dxa"/>
              <w:bottom w:w="60" w:type="dxa"/>
              <w:end w:w="80" w:type="dxa"/>
            </w:tcMar>
          </w:tcPr>
          <w:p>
            <w:pPr>
              <w:spacing w:after="20"/>
            </w:pPr>
            <w:r>
              <w:rPr>
                <w:sz w:val="16"/>
              </w:rPr>
              <w:t>Exemplary</w:t>
            </w:r>
          </w:p>
        </w:tc>
        <w:tc>
          <w:tcPr>
            <w:tcW w:type="dxa" w:w="9072"/>
            <w:vAlign w:val="top"/>
            <w:tcMar>
              <w:top w:w="60" w:type="dxa"/>
              <w:start w:w="80" w:type="dxa"/>
              <w:bottom w:w="60" w:type="dxa"/>
              <w:end w:w="80" w:type="dxa"/>
            </w:tcMar>
          </w:tcPr>
          <w:p>
            <w:pPr>
              <w:spacing w:after="20"/>
            </w:pPr>
            <w:r>
              <w:rPr>
                <w:sz w:val="16"/>
              </w:rPr>
              <w:t>Precise, persuasive, well-evidenced, attentive to source limits, and audience-ready.</w:t>
            </w:r>
          </w:p>
        </w:tc>
      </w:tr>
      <w:tr>
        <w:trPr>
          <w:cantSplit w:val="true"/>
        </w:trPr>
        <w:tc>
          <w:tcPr>
            <w:tcW w:type="dxa" w:w="1584"/>
            <w:vAlign w:val="top"/>
            <w:shd w:fill="F7F3EA"/>
            <w:tcMar>
              <w:top w:w="60" w:type="dxa"/>
              <w:start w:w="80" w:type="dxa"/>
              <w:bottom w:w="60" w:type="dxa"/>
              <w:end w:w="80" w:type="dxa"/>
            </w:tcMar>
          </w:tcPr>
          <w:p>
            <w:pPr>
              <w:spacing w:after="20"/>
            </w:pPr>
            <w:r>
              <w:rPr>
                <w:sz w:val="16"/>
              </w:rPr>
              <w:t>Proficient</w:t>
            </w:r>
          </w:p>
        </w:tc>
        <w:tc>
          <w:tcPr>
            <w:tcW w:type="dxa" w:w="9072"/>
            <w:vAlign w:val="top"/>
            <w:shd w:fill="F7F3EA"/>
            <w:tcMar>
              <w:top w:w="60" w:type="dxa"/>
              <w:start w:w="80" w:type="dxa"/>
              <w:bottom w:w="60" w:type="dxa"/>
              <w:end w:w="80" w:type="dxa"/>
            </w:tcMar>
          </w:tcPr>
          <w:p>
            <w:pPr>
              <w:spacing w:after="20"/>
            </w:pPr>
            <w:r>
              <w:rPr>
                <w:sz w:val="16"/>
              </w:rPr>
              <w:t>Clear and accurate with relevant evidence; minor gaps do not undermine the interpretation.</w:t>
            </w:r>
          </w:p>
        </w:tc>
      </w:tr>
      <w:tr>
        <w:trPr>
          <w:cantSplit w:val="true"/>
        </w:trPr>
        <w:tc>
          <w:tcPr>
            <w:tcW w:type="dxa" w:w="1584"/>
            <w:vAlign w:val="top"/>
            <w:tcMar>
              <w:top w:w="60" w:type="dxa"/>
              <w:start w:w="80" w:type="dxa"/>
              <w:bottom w:w="60" w:type="dxa"/>
              <w:end w:w="80" w:type="dxa"/>
            </w:tcMar>
          </w:tcPr>
          <w:p>
            <w:pPr>
              <w:spacing w:after="20"/>
            </w:pPr>
            <w:r>
              <w:rPr>
                <w:sz w:val="16"/>
              </w:rPr>
              <w:t>Developing</w:t>
            </w:r>
          </w:p>
        </w:tc>
        <w:tc>
          <w:tcPr>
            <w:tcW w:type="dxa" w:w="9072"/>
            <w:vAlign w:val="top"/>
            <w:tcMar>
              <w:top w:w="60" w:type="dxa"/>
              <w:start w:w="80" w:type="dxa"/>
              <w:bottom w:w="60" w:type="dxa"/>
              <w:end w:w="80" w:type="dxa"/>
            </w:tcMar>
          </w:tcPr>
          <w:p>
            <w:pPr>
              <w:spacing w:after="20"/>
            </w:pPr>
            <w:r>
              <w:rPr>
                <w:sz w:val="16"/>
              </w:rPr>
              <w:t>A plausible direction with uneven evidence, context, synthesis, or communication.</w:t>
            </w:r>
          </w:p>
        </w:tc>
      </w:tr>
      <w:tr>
        <w:trPr>
          <w:cantSplit w:val="true"/>
        </w:trPr>
        <w:tc>
          <w:tcPr>
            <w:tcW w:type="dxa" w:w="1584"/>
            <w:vAlign w:val="top"/>
            <w:shd w:fill="F7F3EA"/>
            <w:tcMar>
              <w:top w:w="60" w:type="dxa"/>
              <w:start w:w="80" w:type="dxa"/>
              <w:bottom w:w="60" w:type="dxa"/>
              <w:end w:w="80" w:type="dxa"/>
            </w:tcMar>
          </w:tcPr>
          <w:p>
            <w:pPr>
              <w:spacing w:after="20"/>
            </w:pPr>
            <w:r>
              <w:rPr>
                <w:sz w:val="16"/>
              </w:rPr>
              <w:t>Beginning</w:t>
            </w:r>
          </w:p>
        </w:tc>
        <w:tc>
          <w:tcPr>
            <w:tcW w:type="dxa" w:w="9072"/>
            <w:vAlign w:val="top"/>
            <w:shd w:fill="F7F3EA"/>
            <w:tcMar>
              <w:top w:w="60" w:type="dxa"/>
              <w:start w:w="80" w:type="dxa"/>
              <w:bottom w:w="60" w:type="dxa"/>
              <w:end w:w="80" w:type="dxa"/>
            </w:tcMar>
          </w:tcPr>
          <w:p>
            <w:pPr>
              <w:spacing w:after="20"/>
            </w:pPr>
            <w:r>
              <w:rPr>
                <w:sz w:val="16"/>
              </w:rPr>
              <w:t>Minimal, inaccurate, unsupported, incomplete, or not yet aligned with the task.</w:t>
            </w:r>
          </w:p>
        </w:tc>
      </w:tr>
    </w:tbl>
    <w:p>
      <w:pPr>
        <w:spacing w:after="20"/>
      </w:pPr>
    </w:p>
    <w:p>
      <w:pPr>
        <w:pStyle w:val="Heading1"/>
      </w:pPr>
      <w:r>
        <w:t>7. Rubric Calibration Guide</w:t>
      </w:r>
    </w:p>
    <w:p>
      <w:r>
        <w:t>Use the four-level descriptors above with the assignment’s criteria. Allocate equal criterion weights by default, or weight historical argument and evidence more heavily for the midterm and capstone. Before grading, score two samples and write one sentence distinguishing Proficient from Developing for the current cohort.</w:t>
      </w:r>
    </w:p>
    <w:tbl>
      <w:tblPr>
        <w:tblStyle w:val="TableGrid"/>
        <w:tblW w:type="auto" w:w="0"/>
        <w:jc w:val="center"/>
        <w:tblLook w:firstColumn="1" w:firstRow="1" w:lastColumn="0" w:lastRow="0" w:noHBand="0" w:noVBand="1" w:val="04A0"/>
      </w:tblPr>
      <w:tblGrid>
        <w:gridCol w:w="5083"/>
        <w:gridCol w:w="5083"/>
      </w:tblGrid>
      <w:tr>
        <w:trPr>
          <w:tblHeader w:val="true"/>
          <w:cantSplit w:val="true"/>
        </w:trPr>
        <w:tc>
          <w:tcPr>
            <w:tcW w:type="dxa" w:w="2592"/>
            <w:shd w:fill="24364B"/>
            <w:vAlign w:val="center"/>
            <w:tcMar>
              <w:top w:w="60" w:type="dxa"/>
              <w:start w:w="80" w:type="dxa"/>
              <w:bottom w:w="60" w:type="dxa"/>
              <w:end w:w="80" w:type="dxa"/>
            </w:tcMar>
          </w:tcPr>
          <w:p>
            <w:r>
              <w:rPr>
                <w:b/>
                <w:color w:val="FFFFFF"/>
                <w:sz w:val="17"/>
              </w:rPr>
              <w:t>Assessment</w:t>
            </w:r>
          </w:p>
        </w:tc>
        <w:tc>
          <w:tcPr>
            <w:tcW w:type="dxa" w:w="8064"/>
            <w:shd w:fill="24364B"/>
            <w:vAlign w:val="center"/>
            <w:tcMar>
              <w:top w:w="60" w:type="dxa"/>
              <w:start w:w="80" w:type="dxa"/>
              <w:bottom w:w="60" w:type="dxa"/>
              <w:end w:w="80" w:type="dxa"/>
            </w:tcMar>
          </w:tcPr>
          <w:p>
            <w:r>
              <w:rPr>
                <w:b/>
                <w:color w:val="FFFFFF"/>
                <w:sz w:val="17"/>
              </w:rPr>
              <w:t>Suggested criterion weights</w:t>
            </w:r>
          </w:p>
        </w:tc>
      </w:tr>
      <w:tr>
        <w:trPr>
          <w:cantSplit w:val="true"/>
        </w:trPr>
        <w:tc>
          <w:tcPr>
            <w:tcW w:type="dxa" w:w="2592"/>
            <w:vAlign w:val="top"/>
            <w:tcMar>
              <w:top w:w="60" w:type="dxa"/>
              <w:start w:w="80" w:type="dxa"/>
              <w:bottom w:w="60" w:type="dxa"/>
              <w:end w:w="80" w:type="dxa"/>
            </w:tcMar>
          </w:tcPr>
          <w:p>
            <w:pPr>
              <w:spacing w:after="20"/>
            </w:pPr>
            <w:r>
              <w:rPr>
                <w:sz w:val="17"/>
              </w:rPr>
              <w:t>Mapping the West</w:t>
            </w:r>
          </w:p>
        </w:tc>
        <w:tc>
          <w:tcPr>
            <w:tcW w:type="dxa" w:w="8064"/>
            <w:vAlign w:val="top"/>
            <w:tcMar>
              <w:top w:w="60" w:type="dxa"/>
              <w:start w:w="80" w:type="dxa"/>
              <w:bottom w:w="60" w:type="dxa"/>
              <w:end w:w="80" w:type="dxa"/>
            </w:tcMar>
          </w:tcPr>
          <w:p>
            <w:pPr>
              <w:spacing w:after="20"/>
            </w:pPr>
            <w:r>
              <w:rPr>
                <w:sz w:val="17"/>
              </w:rPr>
              <w:t>Thesis/framework 25; map evidence 20; primary sources 20; scholarship 20; communication/access 15</w:t>
            </w:r>
          </w:p>
        </w:tc>
      </w:tr>
      <w:tr>
        <w:trPr>
          <w:cantSplit w:val="true"/>
        </w:trPr>
        <w:tc>
          <w:tcPr>
            <w:tcW w:type="dxa" w:w="2592"/>
            <w:vAlign w:val="top"/>
            <w:shd w:fill="F7F3EA"/>
            <w:tcMar>
              <w:top w:w="60" w:type="dxa"/>
              <w:start w:w="80" w:type="dxa"/>
              <w:bottom w:w="60" w:type="dxa"/>
              <w:end w:w="80" w:type="dxa"/>
            </w:tcMar>
          </w:tcPr>
          <w:p>
            <w:pPr>
              <w:spacing w:after="20"/>
            </w:pPr>
            <w:r>
              <w:rPr>
                <w:sz w:val="17"/>
              </w:rPr>
              <w:t>Source Reasoning Labs</w:t>
            </w:r>
          </w:p>
        </w:tc>
        <w:tc>
          <w:tcPr>
            <w:tcW w:type="dxa" w:w="8064"/>
            <w:vAlign w:val="top"/>
            <w:shd w:fill="F7F3EA"/>
            <w:tcMar>
              <w:top w:w="60" w:type="dxa"/>
              <w:start w:w="80" w:type="dxa"/>
              <w:bottom w:w="60" w:type="dxa"/>
              <w:end w:w="80" w:type="dxa"/>
            </w:tcMar>
          </w:tcPr>
          <w:p>
            <w:pPr>
              <w:spacing w:after="20"/>
            </w:pPr>
            <w:r>
              <w:rPr>
                <w:sz w:val="17"/>
              </w:rPr>
              <w:t>In-class annotation 32; memo reasoning 40; unseen transfer 20; Decision Record 8</w:t>
            </w:r>
          </w:p>
        </w:tc>
      </w:tr>
      <w:tr>
        <w:trPr>
          <w:cantSplit w:val="true"/>
        </w:trPr>
        <w:tc>
          <w:tcPr>
            <w:tcW w:type="dxa" w:w="2592"/>
            <w:vAlign w:val="top"/>
            <w:tcMar>
              <w:top w:w="60" w:type="dxa"/>
              <w:start w:w="80" w:type="dxa"/>
              <w:bottom w:w="60" w:type="dxa"/>
              <w:end w:w="80" w:type="dxa"/>
            </w:tcMar>
          </w:tcPr>
          <w:p>
            <w:pPr>
              <w:spacing w:after="20"/>
            </w:pPr>
            <w:r>
              <w:rPr>
                <w:sz w:val="17"/>
              </w:rPr>
              <w:t>Historiographical Judgment Portfolio</w:t>
            </w:r>
          </w:p>
        </w:tc>
        <w:tc>
          <w:tcPr>
            <w:tcW w:type="dxa" w:w="8064"/>
            <w:vAlign w:val="top"/>
            <w:tcMar>
              <w:top w:w="60" w:type="dxa"/>
              <w:start w:w="80" w:type="dxa"/>
              <w:bottom w:w="60" w:type="dxa"/>
              <w:end w:w="80" w:type="dxa"/>
            </w:tcMar>
          </w:tcPr>
          <w:p>
            <w:pPr>
              <w:spacing w:after="20"/>
            </w:pPr>
            <w:r>
              <w:rPr>
                <w:sz w:val="17"/>
              </w:rPr>
              <w:t>Position cards 15; comparison matrix 20; unseen synthesis 30; revision 25; defense 10</w:t>
            </w:r>
          </w:p>
        </w:tc>
      </w:tr>
      <w:tr>
        <w:trPr>
          <w:cantSplit w:val="true"/>
        </w:trPr>
        <w:tc>
          <w:tcPr>
            <w:tcW w:type="dxa" w:w="2592"/>
            <w:vAlign w:val="top"/>
            <w:shd w:fill="F7F3EA"/>
            <w:tcMar>
              <w:top w:w="60" w:type="dxa"/>
              <w:start w:w="80" w:type="dxa"/>
              <w:bottom w:w="60" w:type="dxa"/>
              <w:end w:w="80" w:type="dxa"/>
            </w:tcMar>
          </w:tcPr>
          <w:p>
            <w:pPr>
              <w:spacing w:after="20"/>
            </w:pPr>
            <w:r>
              <w:rPr>
                <w:sz w:val="17"/>
              </w:rPr>
              <w:t>Capstone Artifact</w:t>
            </w:r>
          </w:p>
        </w:tc>
        <w:tc>
          <w:tcPr>
            <w:tcW w:type="dxa" w:w="8064"/>
            <w:vAlign w:val="top"/>
            <w:shd w:fill="F7F3EA"/>
            <w:tcMar>
              <w:top w:w="60" w:type="dxa"/>
              <w:start w:w="80" w:type="dxa"/>
              <w:bottom w:w="60" w:type="dxa"/>
              <w:end w:w="80" w:type="dxa"/>
            </w:tcMar>
          </w:tcPr>
          <w:p>
            <w:pPr>
              <w:spacing w:after="20"/>
            </w:pPr>
            <w:r>
              <w:rPr>
                <w:sz w:val="17"/>
              </w:rPr>
              <w:t>Argument/accuracy 25; primary sources 20; scholarship 15; audience/design 20; ethics/rights/access/citation 20</w:t>
            </w:r>
          </w:p>
        </w:tc>
      </w:tr>
      <w:tr>
        <w:trPr>
          <w:cantSplit w:val="true"/>
        </w:trPr>
        <w:tc>
          <w:tcPr>
            <w:tcW w:type="dxa" w:w="2592"/>
            <w:vAlign w:val="top"/>
            <w:tcMar>
              <w:top w:w="60" w:type="dxa"/>
              <w:start w:w="80" w:type="dxa"/>
              <w:bottom w:w="60" w:type="dxa"/>
              <w:end w:w="80" w:type="dxa"/>
            </w:tcMar>
          </w:tcPr>
          <w:p>
            <w:pPr>
              <w:spacing w:after="20"/>
            </w:pPr>
            <w:r>
              <w:rPr>
                <w:sz w:val="17"/>
              </w:rPr>
              <w:t>Oral Defense</w:t>
            </w:r>
          </w:p>
        </w:tc>
        <w:tc>
          <w:tcPr>
            <w:tcW w:type="dxa" w:w="8064"/>
            <w:vAlign w:val="top"/>
            <w:tcMar>
              <w:top w:w="60" w:type="dxa"/>
              <w:start w:w="80" w:type="dxa"/>
              <w:bottom w:w="60" w:type="dxa"/>
              <w:end w:w="80" w:type="dxa"/>
            </w:tcMar>
          </w:tcPr>
          <w:p>
            <w:pPr>
              <w:spacing w:after="20"/>
            </w:pPr>
            <w:r>
              <w:rPr>
                <w:sz w:val="17"/>
              </w:rPr>
              <w:t>Claim 20; evidence 25; interpretive choices 20; questions 20; delivery/access 15</w:t>
            </w:r>
          </w:p>
        </w:tc>
      </w:tr>
    </w:tbl>
    <w:p>
      <w:pPr>
        <w:spacing w:after="20"/>
      </w:pPr>
    </w:p>
    <w:p>
      <w:pPr>
        <w:pStyle w:val="Heading2"/>
      </w:pPr>
      <w:r>
        <w:t>Feedback stems</w:t>
      </w:r>
    </w:p>
    <w:p>
      <w:pPr>
        <w:keepLines/>
        <w:spacing w:after="30"/>
        <w:ind w:left="317" w:hanging="230"/>
      </w:pPr>
      <w:r>
        <w:rPr>
          <w:b/>
        </w:rPr>
        <w:t xml:space="preserve">• </w:t>
      </w:r>
      <w:r>
        <w:t>Your strongest historical move is … because …</w:t>
      </w:r>
    </w:p>
    <w:p>
      <w:pPr>
        <w:keepLines/>
        <w:spacing w:after="30"/>
        <w:ind w:left="317" w:hanging="230"/>
      </w:pPr>
      <w:r>
        <w:rPr>
          <w:b/>
        </w:rPr>
        <w:t xml:space="preserve">• </w:t>
      </w:r>
      <w:r>
        <w:t>This source supports the claim that … but it cannot establish …</w:t>
      </w:r>
    </w:p>
    <w:p>
      <w:pPr>
        <w:keepLines/>
        <w:spacing w:after="30"/>
        <w:ind w:left="317" w:hanging="230"/>
      </w:pPr>
      <w:r>
        <w:rPr>
          <w:b/>
        </w:rPr>
        <w:t xml:space="preserve">• </w:t>
      </w:r>
      <w:r>
        <w:t>To move this criterion to Proficient, add or revise …</w:t>
      </w:r>
    </w:p>
    <w:p>
      <w:pPr>
        <w:keepLines/>
        <w:spacing w:after="30"/>
        <w:ind w:left="317" w:hanging="230"/>
      </w:pPr>
      <w:r>
        <w:rPr>
          <w:b/>
        </w:rPr>
        <w:t xml:space="preserve">• </w:t>
      </w:r>
      <w:r>
        <w:t>The audience can follow …; the next design decision should clarify …</w:t>
      </w:r>
    </w:p>
    <w:p>
      <w:pPr>
        <w:keepLines/>
        <w:spacing w:after="30"/>
        <w:ind w:left="317" w:hanging="230"/>
      </w:pPr>
      <w:r>
        <w:rPr>
          <w:b/>
        </w:rPr>
        <w:t xml:space="preserve">• </w:t>
      </w:r>
      <w:r>
        <w:t>Your process note shows …; verify or document … before publication.</w:t>
      </w:r>
    </w:p>
    <w:p>
      <w:pPr>
        <w:pStyle w:val="Heading1"/>
      </w:pPr>
      <w:r>
        <w:t>8. Quiz Answer Key and Rationale</w:t>
      </w:r>
    </w:p>
    <w:p>
      <w:pPr>
        <w:pStyle w:val="Heading2"/>
      </w:pPr>
      <w:r>
        <w:t>Reading Check 1: Indigenous Worlds and Empires</w:t>
      </w:r>
    </w:p>
    <w:tbl>
      <w:tblPr>
        <w:tblStyle w:val="TableGrid"/>
        <w:tblW w:type="auto" w:w="0"/>
        <w:jc w:val="center"/>
        <w:tblLook w:firstColumn="1" w:firstRow="1" w:lastColumn="0" w:lastRow="0" w:noHBand="0" w:noVBand="1" w:val="04A0"/>
      </w:tblPr>
      <w:tblGrid>
        <w:gridCol w:w="2541"/>
        <w:gridCol w:w="2541"/>
        <w:gridCol w:w="2541"/>
        <w:gridCol w:w="2541"/>
      </w:tblGrid>
      <w:tr>
        <w:trPr>
          <w:tblHeader w:val="true"/>
          <w:cantSplit w:val="true"/>
        </w:trPr>
        <w:tc>
          <w:tcPr>
            <w:tcW w:type="dxa" w:w="504"/>
            <w:shd w:fill="24364B"/>
            <w:vAlign w:val="center"/>
            <w:tcMar>
              <w:top w:w="60" w:type="dxa"/>
              <w:start w:w="80" w:type="dxa"/>
              <w:bottom w:w="60" w:type="dxa"/>
              <w:end w:w="80" w:type="dxa"/>
            </w:tcMar>
          </w:tcPr>
          <w:p>
            <w:r>
              <w:rPr>
                <w:b/>
                <w:color w:val="FFFFFF"/>
                <w:sz w:val="15"/>
              </w:rPr>
              <w:t>Q</w:t>
            </w:r>
          </w:p>
        </w:tc>
        <w:tc>
          <w:tcPr>
            <w:tcW w:type="dxa" w:w="576"/>
            <w:shd w:fill="24364B"/>
            <w:vAlign w:val="center"/>
            <w:tcMar>
              <w:top w:w="60" w:type="dxa"/>
              <w:start w:w="80" w:type="dxa"/>
              <w:bottom w:w="60" w:type="dxa"/>
              <w:end w:w="80" w:type="dxa"/>
            </w:tcMar>
          </w:tcPr>
          <w:p>
            <w:r>
              <w:rPr>
                <w:b/>
                <w:color w:val="FFFFFF"/>
                <w:sz w:val="15"/>
              </w:rPr>
              <w:t>Key</w:t>
            </w:r>
          </w:p>
        </w:tc>
        <w:tc>
          <w:tcPr>
            <w:tcW w:type="dxa" w:w="4464"/>
            <w:shd w:fill="24364B"/>
            <w:vAlign w:val="center"/>
            <w:tcMar>
              <w:top w:w="60" w:type="dxa"/>
              <w:start w:w="80" w:type="dxa"/>
              <w:bottom w:w="60" w:type="dxa"/>
              <w:end w:w="80" w:type="dxa"/>
            </w:tcMar>
          </w:tcPr>
          <w:p>
            <w:r>
              <w:rPr>
                <w:b/>
                <w:color w:val="FFFFFF"/>
                <w:sz w:val="15"/>
              </w:rPr>
              <w:t>Correct response</w:t>
            </w:r>
          </w:p>
        </w:tc>
        <w:tc>
          <w:tcPr>
            <w:tcW w:type="dxa" w:w="5112"/>
            <w:shd w:fill="24364B"/>
            <w:vAlign w:val="center"/>
            <w:tcMar>
              <w:top w:w="60" w:type="dxa"/>
              <w:start w:w="80" w:type="dxa"/>
              <w:bottom w:w="60" w:type="dxa"/>
              <w:end w:w="80" w:type="dxa"/>
            </w:tcMar>
          </w:tcPr>
          <w:p>
            <w:r>
              <w:rPr>
                <w:b/>
                <w:color w:val="FFFFFF"/>
                <w:sz w:val="15"/>
              </w:rPr>
              <w:t>Rationale</w:t>
            </w:r>
          </w:p>
        </w:tc>
      </w:tr>
      <w:tr>
        <w:trPr>
          <w:cantSplit w:val="true"/>
        </w:trPr>
        <w:tc>
          <w:tcPr>
            <w:tcW w:type="dxa" w:w="504"/>
            <w:vAlign w:val="top"/>
            <w:tcMar>
              <w:top w:w="60" w:type="dxa"/>
              <w:start w:w="80" w:type="dxa"/>
              <w:bottom w:w="60" w:type="dxa"/>
              <w:end w:w="80" w:type="dxa"/>
            </w:tcMar>
          </w:tcPr>
          <w:p>
            <w:pPr>
              <w:spacing w:after="20"/>
            </w:pPr>
            <w:r>
              <w:rPr>
                <w:sz w:val="15"/>
              </w:rPr>
              <w:t>1</w:t>
            </w:r>
          </w:p>
        </w:tc>
        <w:tc>
          <w:tcPr>
            <w:tcW w:type="dxa" w:w="576"/>
            <w:vAlign w:val="top"/>
            <w:tcMar>
              <w:top w:w="60" w:type="dxa"/>
              <w:start w:w="80" w:type="dxa"/>
              <w:bottom w:w="60" w:type="dxa"/>
              <w:end w:w="80" w:type="dxa"/>
            </w:tcMar>
          </w:tcPr>
          <w:p>
            <w:pPr>
              <w:spacing w:after="20"/>
            </w:pPr>
            <w:r>
              <w:rPr>
                <w:sz w:val="15"/>
              </w:rPr>
              <w:t>B</w:t>
            </w:r>
          </w:p>
        </w:tc>
        <w:tc>
          <w:tcPr>
            <w:tcW w:type="dxa" w:w="4464"/>
            <w:vAlign w:val="top"/>
            <w:tcMar>
              <w:top w:w="60" w:type="dxa"/>
              <w:start w:w="80" w:type="dxa"/>
              <w:bottom w:w="60" w:type="dxa"/>
              <w:end w:w="80" w:type="dxa"/>
            </w:tcMar>
          </w:tcPr>
          <w:p>
            <w:pPr>
              <w:spacing w:after="20"/>
            </w:pPr>
            <w:r>
              <w:rPr>
                <w:sz w:val="15"/>
              </w:rPr>
              <w:t>Indigenous trade and diplomacy</w:t>
            </w:r>
          </w:p>
        </w:tc>
        <w:tc>
          <w:tcPr>
            <w:tcW w:type="dxa" w:w="5112"/>
            <w:vAlign w:val="top"/>
            <w:tcMar>
              <w:top w:w="60" w:type="dxa"/>
              <w:start w:w="80" w:type="dxa"/>
              <w:bottom w:w="60" w:type="dxa"/>
              <w:end w:w="80" w:type="dxa"/>
            </w:tcMar>
          </w:tcPr>
          <w:p>
            <w:pPr>
              <w:spacing w:after="20"/>
            </w:pPr>
            <w:r>
              <w:rPr>
                <w:sz w:val="15"/>
              </w:rPr>
              <w:t>The correct response connects the unit’s evidence to its central historical interpretation.</w:t>
            </w:r>
          </w:p>
        </w:tc>
      </w:tr>
      <w:tr>
        <w:trPr>
          <w:cantSplit w:val="true"/>
        </w:trPr>
        <w:tc>
          <w:tcPr>
            <w:tcW w:type="dxa" w:w="504"/>
            <w:vAlign w:val="top"/>
            <w:shd w:fill="F7F3EA"/>
            <w:tcMar>
              <w:top w:w="60" w:type="dxa"/>
              <w:start w:w="80" w:type="dxa"/>
              <w:bottom w:w="60" w:type="dxa"/>
              <w:end w:w="80" w:type="dxa"/>
            </w:tcMar>
          </w:tcPr>
          <w:p>
            <w:pPr>
              <w:spacing w:after="20"/>
            </w:pPr>
            <w:r>
              <w:rPr>
                <w:sz w:val="15"/>
              </w:rPr>
              <w:t>2</w:t>
            </w:r>
          </w:p>
        </w:tc>
        <w:tc>
          <w:tcPr>
            <w:tcW w:type="dxa" w:w="576"/>
            <w:vAlign w:val="top"/>
            <w:shd w:fill="F7F3EA"/>
            <w:tcMar>
              <w:top w:w="60" w:type="dxa"/>
              <w:start w:w="80" w:type="dxa"/>
              <w:bottom w:w="60" w:type="dxa"/>
              <w:end w:w="80" w:type="dxa"/>
            </w:tcMar>
          </w:tcPr>
          <w:p>
            <w:pPr>
              <w:spacing w:after="20"/>
            </w:pPr>
            <w:r>
              <w:rPr>
                <w:sz w:val="15"/>
              </w:rPr>
              <w:t>C</w:t>
            </w:r>
          </w:p>
        </w:tc>
        <w:tc>
          <w:tcPr>
            <w:tcW w:type="dxa" w:w="4464"/>
            <w:vAlign w:val="top"/>
            <w:shd w:fill="F7F3EA"/>
            <w:tcMar>
              <w:top w:w="60" w:type="dxa"/>
              <w:start w:w="80" w:type="dxa"/>
              <w:bottom w:w="60" w:type="dxa"/>
              <w:end w:w="80" w:type="dxa"/>
            </w:tcMar>
          </w:tcPr>
          <w:p>
            <w:pPr>
              <w:spacing w:after="20"/>
            </w:pPr>
            <w:r>
              <w:rPr>
                <w:sz w:val="15"/>
              </w:rPr>
              <w:t>Overlapping zones of power</w:t>
            </w:r>
          </w:p>
        </w:tc>
        <w:tc>
          <w:tcPr>
            <w:tcW w:type="dxa" w:w="5112"/>
            <w:vAlign w:val="top"/>
            <w:shd w:fill="F7F3EA"/>
            <w:tcMar>
              <w:top w:w="60" w:type="dxa"/>
              <w:start w:w="80" w:type="dxa"/>
              <w:bottom w:w="60" w:type="dxa"/>
              <w:end w:w="80" w:type="dxa"/>
            </w:tcMar>
          </w:tcPr>
          <w:p>
            <w:pPr>
              <w:spacing w:after="20"/>
            </w:pPr>
            <w:r>
              <w:rPr>
                <w:sz w:val="15"/>
              </w:rPr>
              <w:t>The correct response identifies corroboration, context, or overlapping power as the key reasoning step.</w:t>
            </w:r>
          </w:p>
        </w:tc>
      </w:tr>
      <w:tr>
        <w:trPr>
          <w:cantSplit w:val="true"/>
        </w:trPr>
        <w:tc>
          <w:tcPr>
            <w:tcW w:type="dxa" w:w="504"/>
            <w:vAlign w:val="top"/>
            <w:tcMar>
              <w:top w:w="60" w:type="dxa"/>
              <w:start w:w="80" w:type="dxa"/>
              <w:bottom w:w="60" w:type="dxa"/>
              <w:end w:w="80" w:type="dxa"/>
            </w:tcMar>
          </w:tcPr>
          <w:p>
            <w:pPr>
              <w:spacing w:after="20"/>
            </w:pPr>
            <w:r>
              <w:rPr>
                <w:sz w:val="15"/>
              </w:rPr>
              <w:t>3</w:t>
            </w:r>
          </w:p>
        </w:tc>
        <w:tc>
          <w:tcPr>
            <w:tcW w:type="dxa" w:w="576"/>
            <w:vAlign w:val="top"/>
            <w:tcMar>
              <w:top w:w="60" w:type="dxa"/>
              <w:start w:w="80" w:type="dxa"/>
              <w:bottom w:w="60" w:type="dxa"/>
              <w:end w:w="80" w:type="dxa"/>
            </w:tcMar>
          </w:tcPr>
          <w:p>
            <w:pPr>
              <w:spacing w:after="20"/>
            </w:pPr>
            <w:r>
              <w:rPr>
                <w:sz w:val="15"/>
              </w:rPr>
              <w:t>A</w:t>
            </w:r>
          </w:p>
        </w:tc>
        <w:tc>
          <w:tcPr>
            <w:tcW w:type="dxa" w:w="4464"/>
            <w:vAlign w:val="top"/>
            <w:tcMar>
              <w:top w:w="60" w:type="dxa"/>
              <w:start w:w="80" w:type="dxa"/>
              <w:bottom w:w="60" w:type="dxa"/>
              <w:end w:w="80" w:type="dxa"/>
            </w:tcMar>
          </w:tcPr>
          <w:p>
            <w:pPr>
              <w:spacing w:after="20"/>
            </w:pPr>
            <w:r>
              <w:rPr>
                <w:sz w:val="15"/>
              </w:rPr>
              <w:t>Position, audience, and purpose</w:t>
            </w:r>
          </w:p>
        </w:tc>
        <w:tc>
          <w:tcPr>
            <w:tcW w:type="dxa" w:w="5112"/>
            <w:vAlign w:val="top"/>
            <w:tcMar>
              <w:top w:w="60" w:type="dxa"/>
              <w:start w:w="80" w:type="dxa"/>
              <w:bottom w:w="60" w:type="dxa"/>
              <w:end w:w="80" w:type="dxa"/>
            </w:tcMar>
          </w:tcPr>
          <w:p>
            <w:pPr>
              <w:spacing w:after="20"/>
            </w:pPr>
            <w:r>
              <w:rPr>
                <w:sz w:val="15"/>
              </w:rPr>
              <w:t>The correct response identifies the historically relevant institution, policy, or analytical move.</w:t>
            </w:r>
          </w:p>
        </w:tc>
      </w:tr>
      <w:tr>
        <w:trPr>
          <w:cantSplit w:val="true"/>
        </w:trPr>
        <w:tc>
          <w:tcPr>
            <w:tcW w:type="dxa" w:w="504"/>
            <w:vAlign w:val="top"/>
            <w:shd w:fill="F7F3EA"/>
            <w:tcMar>
              <w:top w:w="60" w:type="dxa"/>
              <w:start w:w="80" w:type="dxa"/>
              <w:bottom w:w="60" w:type="dxa"/>
              <w:end w:w="80" w:type="dxa"/>
            </w:tcMar>
          </w:tcPr>
          <w:p>
            <w:pPr>
              <w:spacing w:after="20"/>
            </w:pPr>
            <w:r>
              <w:rPr>
                <w:sz w:val="15"/>
              </w:rPr>
              <w:t>4</w:t>
            </w:r>
          </w:p>
        </w:tc>
        <w:tc>
          <w:tcPr>
            <w:tcW w:type="dxa" w:w="576"/>
            <w:vAlign w:val="top"/>
            <w:shd w:fill="F7F3EA"/>
            <w:tcMar>
              <w:top w:w="60" w:type="dxa"/>
              <w:start w:w="80" w:type="dxa"/>
              <w:bottom w:w="60" w:type="dxa"/>
              <w:end w:w="80" w:type="dxa"/>
            </w:tcMar>
          </w:tcPr>
          <w:p>
            <w:pPr>
              <w:spacing w:after="20"/>
            </w:pPr>
            <w:r>
              <w:rPr>
                <w:sz w:val="15"/>
              </w:rPr>
              <w:t>Manual</w:t>
            </w:r>
          </w:p>
        </w:tc>
        <w:tc>
          <w:tcPr>
            <w:tcW w:type="dxa" w:w="4464"/>
            <w:vAlign w:val="top"/>
            <w:shd w:fill="F7F3EA"/>
            <w:tcMar>
              <w:top w:w="60" w:type="dxa"/>
              <w:start w:w="80" w:type="dxa"/>
              <w:bottom w:w="60" w:type="dxa"/>
              <w:end w:w="80" w:type="dxa"/>
            </w:tcMar>
          </w:tcPr>
          <w:p>
            <w:pPr>
              <w:spacing w:after="20"/>
            </w:pPr>
            <w:r>
              <w:rPr>
                <w:sz w:val="15"/>
              </w:rPr>
              <w:t>Student-generated evidence-and-judgment response</w:t>
            </w:r>
          </w:p>
        </w:tc>
        <w:tc>
          <w:tcPr>
            <w:tcW w:type="dxa" w:w="5112"/>
            <w:vAlign w:val="top"/>
            <w:shd w:fill="F7F3EA"/>
            <w:tcMar>
              <w:top w:w="60" w:type="dxa"/>
              <w:start w:w="80" w:type="dxa"/>
              <w:bottom w:w="60" w:type="dxa"/>
              <w:end w:w="80" w:type="dxa"/>
            </w:tcMar>
          </w:tcPr>
          <w:p>
            <w:pPr>
              <w:spacing w:after="20"/>
            </w:pPr>
            <w:r>
              <w:rPr>
                <w:sz w:val="15"/>
              </w:rPr>
              <w:t>Look for a specific course source or claim, accurate context, explicit reasoning, and a meaningful limit or uncertainty.</w:t>
            </w:r>
          </w:p>
        </w:tc>
      </w:tr>
      <w:tr>
        <w:trPr>
          <w:cantSplit w:val="true"/>
        </w:trPr>
        <w:tc>
          <w:tcPr>
            <w:tcW w:type="dxa" w:w="504"/>
            <w:vAlign w:val="top"/>
            <w:tcMar>
              <w:top w:w="60" w:type="dxa"/>
              <w:start w:w="80" w:type="dxa"/>
              <w:bottom w:w="60" w:type="dxa"/>
              <w:end w:w="80" w:type="dxa"/>
            </w:tcMar>
          </w:tcPr>
          <w:p>
            <w:pPr>
              <w:spacing w:after="20"/>
            </w:pPr>
            <w:r>
              <w:rPr>
                <w:sz w:val="15"/>
              </w:rPr>
              <w:t>5</w:t>
            </w:r>
          </w:p>
        </w:tc>
        <w:tc>
          <w:tcPr>
            <w:tcW w:type="dxa" w:w="576"/>
            <w:vAlign w:val="top"/>
            <w:tcMar>
              <w:top w:w="60" w:type="dxa"/>
              <w:start w:w="80" w:type="dxa"/>
              <w:bottom w:w="60" w:type="dxa"/>
              <w:end w:w="80" w:type="dxa"/>
            </w:tcMar>
          </w:tcPr>
          <w:p>
            <w:pPr>
              <w:spacing w:after="20"/>
            </w:pPr>
            <w:r>
              <w:rPr>
                <w:sz w:val="15"/>
              </w:rPr>
              <w:t>Manual</w:t>
            </w:r>
          </w:p>
        </w:tc>
        <w:tc>
          <w:tcPr>
            <w:tcW w:type="dxa" w:w="4464"/>
            <w:vAlign w:val="top"/>
            <w:tcMar>
              <w:top w:w="60" w:type="dxa"/>
              <w:start w:w="80" w:type="dxa"/>
              <w:bottom w:w="60" w:type="dxa"/>
              <w:end w:w="80" w:type="dxa"/>
            </w:tcMar>
          </w:tcPr>
          <w:p>
            <w:pPr>
              <w:spacing w:after="20"/>
            </w:pPr>
            <w:r>
              <w:rPr>
                <w:sz w:val="15"/>
              </w:rPr>
              <w:t>Student-generated evidence-and-judgment response</w:t>
            </w:r>
          </w:p>
        </w:tc>
        <w:tc>
          <w:tcPr>
            <w:tcW w:type="dxa" w:w="5112"/>
            <w:vAlign w:val="top"/>
            <w:tcMar>
              <w:top w:w="60" w:type="dxa"/>
              <w:start w:w="80" w:type="dxa"/>
              <w:bottom w:w="60" w:type="dxa"/>
              <w:end w:w="80" w:type="dxa"/>
            </w:tcMar>
          </w:tcPr>
          <w:p>
            <w:pPr>
              <w:spacing w:after="20"/>
            </w:pPr>
            <w:r>
              <w:rPr>
                <w:sz w:val="15"/>
              </w:rPr>
              <w:t>Look for a specific course source or claim, accurate context, explicit reasoning, and a meaningful limit or uncertainty.</w:t>
            </w:r>
          </w:p>
        </w:tc>
      </w:tr>
    </w:tbl>
    <w:p>
      <w:pPr>
        <w:spacing w:after="20"/>
      </w:pPr>
    </w:p>
    <w:p>
      <w:pPr>
        <w:pStyle w:val="Heading2"/>
      </w:pPr>
      <w:r>
        <w:t>Reading Check 2: Treaties and Removal</w:t>
      </w:r>
    </w:p>
    <w:tbl>
      <w:tblPr>
        <w:tblStyle w:val="TableGrid"/>
        <w:tblW w:type="auto" w:w="0"/>
        <w:jc w:val="center"/>
        <w:tblLook w:firstColumn="1" w:firstRow="1" w:lastColumn="0" w:lastRow="0" w:noHBand="0" w:noVBand="1" w:val="04A0"/>
      </w:tblPr>
      <w:tblGrid>
        <w:gridCol w:w="2541"/>
        <w:gridCol w:w="2541"/>
        <w:gridCol w:w="2541"/>
        <w:gridCol w:w="2541"/>
      </w:tblGrid>
      <w:tr>
        <w:trPr>
          <w:tblHeader w:val="true"/>
          <w:cantSplit w:val="true"/>
        </w:trPr>
        <w:tc>
          <w:tcPr>
            <w:tcW w:type="dxa" w:w="504"/>
            <w:shd w:fill="24364B"/>
            <w:vAlign w:val="center"/>
            <w:tcMar>
              <w:top w:w="60" w:type="dxa"/>
              <w:start w:w="80" w:type="dxa"/>
              <w:bottom w:w="60" w:type="dxa"/>
              <w:end w:w="80" w:type="dxa"/>
            </w:tcMar>
          </w:tcPr>
          <w:p>
            <w:r>
              <w:rPr>
                <w:b/>
                <w:color w:val="FFFFFF"/>
                <w:sz w:val="15"/>
              </w:rPr>
              <w:t>Q</w:t>
            </w:r>
          </w:p>
        </w:tc>
        <w:tc>
          <w:tcPr>
            <w:tcW w:type="dxa" w:w="576"/>
            <w:shd w:fill="24364B"/>
            <w:vAlign w:val="center"/>
            <w:tcMar>
              <w:top w:w="60" w:type="dxa"/>
              <w:start w:w="80" w:type="dxa"/>
              <w:bottom w:w="60" w:type="dxa"/>
              <w:end w:w="80" w:type="dxa"/>
            </w:tcMar>
          </w:tcPr>
          <w:p>
            <w:r>
              <w:rPr>
                <w:b/>
                <w:color w:val="FFFFFF"/>
                <w:sz w:val="15"/>
              </w:rPr>
              <w:t>Key</w:t>
            </w:r>
          </w:p>
        </w:tc>
        <w:tc>
          <w:tcPr>
            <w:tcW w:type="dxa" w:w="4464"/>
            <w:shd w:fill="24364B"/>
            <w:vAlign w:val="center"/>
            <w:tcMar>
              <w:top w:w="60" w:type="dxa"/>
              <w:start w:w="80" w:type="dxa"/>
              <w:bottom w:w="60" w:type="dxa"/>
              <w:end w:w="80" w:type="dxa"/>
            </w:tcMar>
          </w:tcPr>
          <w:p>
            <w:r>
              <w:rPr>
                <w:b/>
                <w:color w:val="FFFFFF"/>
                <w:sz w:val="15"/>
              </w:rPr>
              <w:t>Correct response</w:t>
            </w:r>
          </w:p>
        </w:tc>
        <w:tc>
          <w:tcPr>
            <w:tcW w:type="dxa" w:w="5112"/>
            <w:shd w:fill="24364B"/>
            <w:vAlign w:val="center"/>
            <w:tcMar>
              <w:top w:w="60" w:type="dxa"/>
              <w:start w:w="80" w:type="dxa"/>
              <w:bottom w:w="60" w:type="dxa"/>
              <w:end w:w="80" w:type="dxa"/>
            </w:tcMar>
          </w:tcPr>
          <w:p>
            <w:r>
              <w:rPr>
                <w:b/>
                <w:color w:val="FFFFFF"/>
                <w:sz w:val="15"/>
              </w:rPr>
              <w:t>Rationale</w:t>
            </w:r>
          </w:p>
        </w:tc>
      </w:tr>
      <w:tr>
        <w:trPr>
          <w:cantSplit w:val="true"/>
        </w:trPr>
        <w:tc>
          <w:tcPr>
            <w:tcW w:type="dxa" w:w="504"/>
            <w:vAlign w:val="top"/>
            <w:tcMar>
              <w:top w:w="60" w:type="dxa"/>
              <w:start w:w="80" w:type="dxa"/>
              <w:bottom w:w="60" w:type="dxa"/>
              <w:end w:w="80" w:type="dxa"/>
            </w:tcMar>
          </w:tcPr>
          <w:p>
            <w:pPr>
              <w:spacing w:after="20"/>
            </w:pPr>
            <w:r>
              <w:rPr>
                <w:sz w:val="15"/>
              </w:rPr>
              <w:t>1</w:t>
            </w:r>
          </w:p>
        </w:tc>
        <w:tc>
          <w:tcPr>
            <w:tcW w:type="dxa" w:w="576"/>
            <w:vAlign w:val="top"/>
            <w:tcMar>
              <w:top w:w="60" w:type="dxa"/>
              <w:start w:w="80" w:type="dxa"/>
              <w:bottom w:w="60" w:type="dxa"/>
              <w:end w:w="80" w:type="dxa"/>
            </w:tcMar>
          </w:tcPr>
          <w:p>
            <w:pPr>
              <w:spacing w:after="20"/>
            </w:pPr>
            <w:r>
              <w:rPr>
                <w:sz w:val="15"/>
              </w:rPr>
              <w:t>B</w:t>
            </w:r>
          </w:p>
        </w:tc>
        <w:tc>
          <w:tcPr>
            <w:tcW w:type="dxa" w:w="4464"/>
            <w:vAlign w:val="top"/>
            <w:tcMar>
              <w:top w:w="60" w:type="dxa"/>
              <w:start w:w="80" w:type="dxa"/>
              <w:bottom w:w="60" w:type="dxa"/>
              <w:end w:w="80" w:type="dxa"/>
            </w:tcMar>
          </w:tcPr>
          <w:p>
            <w:pPr>
              <w:spacing w:after="20"/>
            </w:pPr>
            <w:r>
              <w:rPr>
                <w:sz w:val="15"/>
              </w:rPr>
              <w:t>A translated and contested negotiation</w:t>
            </w:r>
          </w:p>
        </w:tc>
        <w:tc>
          <w:tcPr>
            <w:tcW w:type="dxa" w:w="5112"/>
            <w:vAlign w:val="top"/>
            <w:tcMar>
              <w:top w:w="60" w:type="dxa"/>
              <w:start w:w="80" w:type="dxa"/>
              <w:bottom w:w="60" w:type="dxa"/>
              <w:end w:w="80" w:type="dxa"/>
            </w:tcMar>
          </w:tcPr>
          <w:p>
            <w:pPr>
              <w:spacing w:after="20"/>
            </w:pPr>
            <w:r>
              <w:rPr>
                <w:sz w:val="15"/>
              </w:rPr>
              <w:t>The correct response connects the unit’s evidence to its central historical interpretation.</w:t>
            </w:r>
          </w:p>
        </w:tc>
      </w:tr>
      <w:tr>
        <w:trPr>
          <w:cantSplit w:val="true"/>
        </w:trPr>
        <w:tc>
          <w:tcPr>
            <w:tcW w:type="dxa" w:w="504"/>
            <w:vAlign w:val="top"/>
            <w:shd w:fill="F7F3EA"/>
            <w:tcMar>
              <w:top w:w="60" w:type="dxa"/>
              <w:start w:w="80" w:type="dxa"/>
              <w:bottom w:w="60" w:type="dxa"/>
              <w:end w:w="80" w:type="dxa"/>
            </w:tcMar>
          </w:tcPr>
          <w:p>
            <w:pPr>
              <w:spacing w:after="20"/>
            </w:pPr>
            <w:r>
              <w:rPr>
                <w:sz w:val="15"/>
              </w:rPr>
              <w:t>2</w:t>
            </w:r>
          </w:p>
        </w:tc>
        <w:tc>
          <w:tcPr>
            <w:tcW w:type="dxa" w:w="576"/>
            <w:vAlign w:val="top"/>
            <w:shd w:fill="F7F3EA"/>
            <w:tcMar>
              <w:top w:w="60" w:type="dxa"/>
              <w:start w:w="80" w:type="dxa"/>
              <w:bottom w:w="60" w:type="dxa"/>
              <w:end w:w="80" w:type="dxa"/>
            </w:tcMar>
          </w:tcPr>
          <w:p>
            <w:pPr>
              <w:spacing w:after="20"/>
            </w:pPr>
            <w:r>
              <w:rPr>
                <w:sz w:val="15"/>
              </w:rPr>
              <w:t>A</w:t>
            </w:r>
          </w:p>
        </w:tc>
        <w:tc>
          <w:tcPr>
            <w:tcW w:type="dxa" w:w="4464"/>
            <w:vAlign w:val="top"/>
            <w:shd w:fill="F7F3EA"/>
            <w:tcMar>
              <w:top w:w="60" w:type="dxa"/>
              <w:start w:w="80" w:type="dxa"/>
              <w:bottom w:w="60" w:type="dxa"/>
              <w:end w:w="80" w:type="dxa"/>
            </w:tcMar>
          </w:tcPr>
          <w:p>
            <w:pPr>
              <w:spacing w:after="20"/>
            </w:pPr>
            <w:r>
              <w:rPr>
                <w:sz w:val="15"/>
              </w:rPr>
              <w:t>Policy intent versus lived implementation</w:t>
            </w:r>
          </w:p>
        </w:tc>
        <w:tc>
          <w:tcPr>
            <w:tcW w:type="dxa" w:w="5112"/>
            <w:vAlign w:val="top"/>
            <w:shd w:fill="F7F3EA"/>
            <w:tcMar>
              <w:top w:w="60" w:type="dxa"/>
              <w:start w:w="80" w:type="dxa"/>
              <w:bottom w:w="60" w:type="dxa"/>
              <w:end w:w="80" w:type="dxa"/>
            </w:tcMar>
          </w:tcPr>
          <w:p>
            <w:pPr>
              <w:spacing w:after="20"/>
            </w:pPr>
            <w:r>
              <w:rPr>
                <w:sz w:val="15"/>
              </w:rPr>
              <w:t>The correct response identifies the historically relevant institution, policy, or analytical move.</w:t>
            </w:r>
          </w:p>
        </w:tc>
      </w:tr>
      <w:tr>
        <w:trPr>
          <w:cantSplit w:val="true"/>
        </w:trPr>
        <w:tc>
          <w:tcPr>
            <w:tcW w:type="dxa" w:w="504"/>
            <w:vAlign w:val="top"/>
            <w:tcMar>
              <w:top w:w="60" w:type="dxa"/>
              <w:start w:w="80" w:type="dxa"/>
              <w:bottom w:w="60" w:type="dxa"/>
              <w:end w:w="80" w:type="dxa"/>
            </w:tcMar>
          </w:tcPr>
          <w:p>
            <w:pPr>
              <w:spacing w:after="20"/>
            </w:pPr>
            <w:r>
              <w:rPr>
                <w:sz w:val="15"/>
              </w:rPr>
              <w:t>3</w:t>
            </w:r>
          </w:p>
        </w:tc>
        <w:tc>
          <w:tcPr>
            <w:tcW w:type="dxa" w:w="576"/>
            <w:vAlign w:val="top"/>
            <w:tcMar>
              <w:top w:w="60" w:type="dxa"/>
              <w:start w:w="80" w:type="dxa"/>
              <w:bottom w:w="60" w:type="dxa"/>
              <w:end w:w="80" w:type="dxa"/>
            </w:tcMar>
          </w:tcPr>
          <w:p>
            <w:pPr>
              <w:spacing w:after="20"/>
            </w:pPr>
            <w:r>
              <w:rPr>
                <w:sz w:val="15"/>
              </w:rPr>
              <w:t>D</w:t>
            </w:r>
          </w:p>
        </w:tc>
        <w:tc>
          <w:tcPr>
            <w:tcW w:type="dxa" w:w="4464"/>
            <w:vAlign w:val="top"/>
            <w:tcMar>
              <w:top w:w="60" w:type="dxa"/>
              <w:start w:w="80" w:type="dxa"/>
              <w:bottom w:w="60" w:type="dxa"/>
              <w:end w:w="80" w:type="dxa"/>
            </w:tcMar>
          </w:tcPr>
          <w:p>
            <w:pPr>
              <w:spacing w:after="20"/>
            </w:pPr>
            <w:r>
              <w:rPr>
                <w:sz w:val="15"/>
              </w:rPr>
              <w:t>Political authority and self-government</w:t>
            </w:r>
          </w:p>
        </w:tc>
        <w:tc>
          <w:tcPr>
            <w:tcW w:type="dxa" w:w="5112"/>
            <w:vAlign w:val="top"/>
            <w:tcMar>
              <w:top w:w="60" w:type="dxa"/>
              <w:start w:w="80" w:type="dxa"/>
              <w:bottom w:w="60" w:type="dxa"/>
              <w:end w:w="80" w:type="dxa"/>
            </w:tcMar>
          </w:tcPr>
          <w:p>
            <w:pPr>
              <w:spacing w:after="20"/>
            </w:pPr>
            <w:r>
              <w:rPr>
                <w:sz w:val="15"/>
              </w:rPr>
              <w:t>The correct response best respects source limits and historical complexity.</w:t>
            </w:r>
          </w:p>
        </w:tc>
      </w:tr>
      <w:tr>
        <w:trPr>
          <w:cantSplit w:val="true"/>
        </w:trPr>
        <w:tc>
          <w:tcPr>
            <w:tcW w:type="dxa" w:w="504"/>
            <w:vAlign w:val="top"/>
            <w:shd w:fill="F7F3EA"/>
            <w:tcMar>
              <w:top w:w="60" w:type="dxa"/>
              <w:start w:w="80" w:type="dxa"/>
              <w:bottom w:w="60" w:type="dxa"/>
              <w:end w:w="80" w:type="dxa"/>
            </w:tcMar>
          </w:tcPr>
          <w:p>
            <w:pPr>
              <w:spacing w:after="20"/>
            </w:pPr>
            <w:r>
              <w:rPr>
                <w:sz w:val="15"/>
              </w:rPr>
              <w:t>4</w:t>
            </w:r>
          </w:p>
        </w:tc>
        <w:tc>
          <w:tcPr>
            <w:tcW w:type="dxa" w:w="576"/>
            <w:vAlign w:val="top"/>
            <w:shd w:fill="F7F3EA"/>
            <w:tcMar>
              <w:top w:w="60" w:type="dxa"/>
              <w:start w:w="80" w:type="dxa"/>
              <w:bottom w:w="60" w:type="dxa"/>
              <w:end w:w="80" w:type="dxa"/>
            </w:tcMar>
          </w:tcPr>
          <w:p>
            <w:pPr>
              <w:spacing w:after="20"/>
            </w:pPr>
            <w:r>
              <w:rPr>
                <w:sz w:val="15"/>
              </w:rPr>
              <w:t>Manual</w:t>
            </w:r>
          </w:p>
        </w:tc>
        <w:tc>
          <w:tcPr>
            <w:tcW w:type="dxa" w:w="4464"/>
            <w:vAlign w:val="top"/>
            <w:shd w:fill="F7F3EA"/>
            <w:tcMar>
              <w:top w:w="60" w:type="dxa"/>
              <w:start w:w="80" w:type="dxa"/>
              <w:bottom w:w="60" w:type="dxa"/>
              <w:end w:w="80" w:type="dxa"/>
            </w:tcMar>
          </w:tcPr>
          <w:p>
            <w:pPr>
              <w:spacing w:after="20"/>
            </w:pPr>
            <w:r>
              <w:rPr>
                <w:sz w:val="15"/>
              </w:rPr>
              <w:t>Student-generated evidence-and-judgment response</w:t>
            </w:r>
          </w:p>
        </w:tc>
        <w:tc>
          <w:tcPr>
            <w:tcW w:type="dxa" w:w="5112"/>
            <w:vAlign w:val="top"/>
            <w:shd w:fill="F7F3EA"/>
            <w:tcMar>
              <w:top w:w="60" w:type="dxa"/>
              <w:start w:w="80" w:type="dxa"/>
              <w:bottom w:w="60" w:type="dxa"/>
              <w:end w:w="80" w:type="dxa"/>
            </w:tcMar>
          </w:tcPr>
          <w:p>
            <w:pPr>
              <w:spacing w:after="20"/>
            </w:pPr>
            <w:r>
              <w:rPr>
                <w:sz w:val="15"/>
              </w:rPr>
              <w:t>Look for a specific course source or claim, accurate context, explicit reasoning, and a meaningful limit or uncertainty.</w:t>
            </w:r>
          </w:p>
        </w:tc>
      </w:tr>
      <w:tr>
        <w:trPr>
          <w:cantSplit w:val="true"/>
        </w:trPr>
        <w:tc>
          <w:tcPr>
            <w:tcW w:type="dxa" w:w="504"/>
            <w:vAlign w:val="top"/>
            <w:tcMar>
              <w:top w:w="60" w:type="dxa"/>
              <w:start w:w="80" w:type="dxa"/>
              <w:bottom w:w="60" w:type="dxa"/>
              <w:end w:w="80" w:type="dxa"/>
            </w:tcMar>
          </w:tcPr>
          <w:p>
            <w:pPr>
              <w:spacing w:after="20"/>
            </w:pPr>
            <w:r>
              <w:rPr>
                <w:sz w:val="15"/>
              </w:rPr>
              <w:t>5</w:t>
            </w:r>
          </w:p>
        </w:tc>
        <w:tc>
          <w:tcPr>
            <w:tcW w:type="dxa" w:w="576"/>
            <w:vAlign w:val="top"/>
            <w:tcMar>
              <w:top w:w="60" w:type="dxa"/>
              <w:start w:w="80" w:type="dxa"/>
              <w:bottom w:w="60" w:type="dxa"/>
              <w:end w:w="80" w:type="dxa"/>
            </w:tcMar>
          </w:tcPr>
          <w:p>
            <w:pPr>
              <w:spacing w:after="20"/>
            </w:pPr>
            <w:r>
              <w:rPr>
                <w:sz w:val="15"/>
              </w:rPr>
              <w:t>Manual</w:t>
            </w:r>
          </w:p>
        </w:tc>
        <w:tc>
          <w:tcPr>
            <w:tcW w:type="dxa" w:w="4464"/>
            <w:vAlign w:val="top"/>
            <w:tcMar>
              <w:top w:w="60" w:type="dxa"/>
              <w:start w:w="80" w:type="dxa"/>
              <w:bottom w:w="60" w:type="dxa"/>
              <w:end w:w="80" w:type="dxa"/>
            </w:tcMar>
          </w:tcPr>
          <w:p>
            <w:pPr>
              <w:spacing w:after="20"/>
            </w:pPr>
            <w:r>
              <w:rPr>
                <w:sz w:val="15"/>
              </w:rPr>
              <w:t>Student-generated evidence-and-judgment response</w:t>
            </w:r>
          </w:p>
        </w:tc>
        <w:tc>
          <w:tcPr>
            <w:tcW w:type="dxa" w:w="5112"/>
            <w:vAlign w:val="top"/>
            <w:tcMar>
              <w:top w:w="60" w:type="dxa"/>
              <w:start w:w="80" w:type="dxa"/>
              <w:bottom w:w="60" w:type="dxa"/>
              <w:end w:w="80" w:type="dxa"/>
            </w:tcMar>
          </w:tcPr>
          <w:p>
            <w:pPr>
              <w:spacing w:after="20"/>
            </w:pPr>
            <w:r>
              <w:rPr>
                <w:sz w:val="15"/>
              </w:rPr>
              <w:t>Look for a specific course source or claim, accurate context, explicit reasoning, and a meaningful limit or uncertainty.</w:t>
            </w:r>
          </w:p>
        </w:tc>
      </w:tr>
    </w:tbl>
    <w:p>
      <w:pPr>
        <w:spacing w:after="20"/>
      </w:pPr>
    </w:p>
    <w:p>
      <w:pPr>
        <w:pStyle w:val="Heading2"/>
      </w:pPr>
      <w:r>
        <w:t>Reading Check 3: War, Slavery, and Gold</w:t>
      </w:r>
    </w:p>
    <w:tbl>
      <w:tblPr>
        <w:tblStyle w:val="TableGrid"/>
        <w:tblW w:type="auto" w:w="0"/>
        <w:jc w:val="center"/>
        <w:tblLook w:firstColumn="1" w:firstRow="1" w:lastColumn="0" w:lastRow="0" w:noHBand="0" w:noVBand="1" w:val="04A0"/>
      </w:tblPr>
      <w:tblGrid>
        <w:gridCol w:w="2541"/>
        <w:gridCol w:w="2541"/>
        <w:gridCol w:w="2541"/>
        <w:gridCol w:w="2541"/>
      </w:tblGrid>
      <w:tr>
        <w:trPr>
          <w:tblHeader w:val="true"/>
          <w:cantSplit w:val="true"/>
        </w:trPr>
        <w:tc>
          <w:tcPr>
            <w:tcW w:type="dxa" w:w="504"/>
            <w:shd w:fill="24364B"/>
            <w:vAlign w:val="center"/>
            <w:tcMar>
              <w:top w:w="60" w:type="dxa"/>
              <w:start w:w="80" w:type="dxa"/>
              <w:bottom w:w="60" w:type="dxa"/>
              <w:end w:w="80" w:type="dxa"/>
            </w:tcMar>
          </w:tcPr>
          <w:p>
            <w:r>
              <w:rPr>
                <w:b/>
                <w:color w:val="FFFFFF"/>
                <w:sz w:val="15"/>
              </w:rPr>
              <w:t>Q</w:t>
            </w:r>
          </w:p>
        </w:tc>
        <w:tc>
          <w:tcPr>
            <w:tcW w:type="dxa" w:w="576"/>
            <w:shd w:fill="24364B"/>
            <w:vAlign w:val="center"/>
            <w:tcMar>
              <w:top w:w="60" w:type="dxa"/>
              <w:start w:w="80" w:type="dxa"/>
              <w:bottom w:w="60" w:type="dxa"/>
              <w:end w:w="80" w:type="dxa"/>
            </w:tcMar>
          </w:tcPr>
          <w:p>
            <w:r>
              <w:rPr>
                <w:b/>
                <w:color w:val="FFFFFF"/>
                <w:sz w:val="15"/>
              </w:rPr>
              <w:t>Key</w:t>
            </w:r>
          </w:p>
        </w:tc>
        <w:tc>
          <w:tcPr>
            <w:tcW w:type="dxa" w:w="4464"/>
            <w:shd w:fill="24364B"/>
            <w:vAlign w:val="center"/>
            <w:tcMar>
              <w:top w:w="60" w:type="dxa"/>
              <w:start w:w="80" w:type="dxa"/>
              <w:bottom w:w="60" w:type="dxa"/>
              <w:end w:w="80" w:type="dxa"/>
            </w:tcMar>
          </w:tcPr>
          <w:p>
            <w:r>
              <w:rPr>
                <w:b/>
                <w:color w:val="FFFFFF"/>
                <w:sz w:val="15"/>
              </w:rPr>
              <w:t>Correct response</w:t>
            </w:r>
          </w:p>
        </w:tc>
        <w:tc>
          <w:tcPr>
            <w:tcW w:type="dxa" w:w="5112"/>
            <w:shd w:fill="24364B"/>
            <w:vAlign w:val="center"/>
            <w:tcMar>
              <w:top w:w="60" w:type="dxa"/>
              <w:start w:w="80" w:type="dxa"/>
              <w:bottom w:w="60" w:type="dxa"/>
              <w:end w:w="80" w:type="dxa"/>
            </w:tcMar>
          </w:tcPr>
          <w:p>
            <w:r>
              <w:rPr>
                <w:b/>
                <w:color w:val="FFFFFF"/>
                <w:sz w:val="15"/>
              </w:rPr>
              <w:t>Rationale</w:t>
            </w:r>
          </w:p>
        </w:tc>
      </w:tr>
      <w:tr>
        <w:trPr>
          <w:cantSplit w:val="true"/>
        </w:trPr>
        <w:tc>
          <w:tcPr>
            <w:tcW w:type="dxa" w:w="504"/>
            <w:vAlign w:val="top"/>
            <w:tcMar>
              <w:top w:w="60" w:type="dxa"/>
              <w:start w:w="80" w:type="dxa"/>
              <w:bottom w:w="60" w:type="dxa"/>
              <w:end w:w="80" w:type="dxa"/>
            </w:tcMar>
          </w:tcPr>
          <w:p>
            <w:pPr>
              <w:spacing w:after="20"/>
            </w:pPr>
            <w:r>
              <w:rPr>
                <w:sz w:val="15"/>
              </w:rPr>
              <w:t>1</w:t>
            </w:r>
          </w:p>
        </w:tc>
        <w:tc>
          <w:tcPr>
            <w:tcW w:type="dxa" w:w="576"/>
            <w:vAlign w:val="top"/>
            <w:tcMar>
              <w:top w:w="60" w:type="dxa"/>
              <w:start w:w="80" w:type="dxa"/>
              <w:bottom w:w="60" w:type="dxa"/>
              <w:end w:w="80" w:type="dxa"/>
            </w:tcMar>
          </w:tcPr>
          <w:p>
            <w:pPr>
              <w:spacing w:after="20"/>
            </w:pPr>
            <w:r>
              <w:rPr>
                <w:sz w:val="15"/>
              </w:rPr>
              <w:t>A</w:t>
            </w:r>
          </w:p>
        </w:tc>
        <w:tc>
          <w:tcPr>
            <w:tcW w:type="dxa" w:w="4464"/>
            <w:vAlign w:val="top"/>
            <w:tcMar>
              <w:top w:w="60" w:type="dxa"/>
              <w:start w:w="80" w:type="dxa"/>
              <w:bottom w:w="60" w:type="dxa"/>
              <w:end w:w="80" w:type="dxa"/>
            </w:tcMar>
          </w:tcPr>
          <w:p>
            <w:pPr>
              <w:spacing w:after="20"/>
            </w:pPr>
            <w:r>
              <w:rPr>
                <w:sz w:val="15"/>
              </w:rPr>
              <w:t>Slavery debates in acquired territories</w:t>
            </w:r>
          </w:p>
        </w:tc>
        <w:tc>
          <w:tcPr>
            <w:tcW w:type="dxa" w:w="5112"/>
            <w:vAlign w:val="top"/>
            <w:tcMar>
              <w:top w:w="60" w:type="dxa"/>
              <w:start w:w="80" w:type="dxa"/>
              <w:bottom w:w="60" w:type="dxa"/>
              <w:end w:w="80" w:type="dxa"/>
            </w:tcMar>
          </w:tcPr>
          <w:p>
            <w:pPr>
              <w:spacing w:after="20"/>
            </w:pPr>
            <w:r>
              <w:rPr>
                <w:sz w:val="15"/>
              </w:rPr>
              <w:t>The correct response identifies the historically relevant institution, policy, or analytical move.</w:t>
            </w:r>
          </w:p>
        </w:tc>
      </w:tr>
      <w:tr>
        <w:trPr>
          <w:cantSplit w:val="true"/>
        </w:trPr>
        <w:tc>
          <w:tcPr>
            <w:tcW w:type="dxa" w:w="504"/>
            <w:vAlign w:val="top"/>
            <w:shd w:fill="F7F3EA"/>
            <w:tcMar>
              <w:top w:w="60" w:type="dxa"/>
              <w:start w:w="80" w:type="dxa"/>
              <w:bottom w:w="60" w:type="dxa"/>
              <w:end w:w="80" w:type="dxa"/>
            </w:tcMar>
          </w:tcPr>
          <w:p>
            <w:pPr>
              <w:spacing w:after="20"/>
            </w:pPr>
            <w:r>
              <w:rPr>
                <w:sz w:val="15"/>
              </w:rPr>
              <w:t>2</w:t>
            </w:r>
          </w:p>
        </w:tc>
        <w:tc>
          <w:tcPr>
            <w:tcW w:type="dxa" w:w="576"/>
            <w:vAlign w:val="top"/>
            <w:shd w:fill="F7F3EA"/>
            <w:tcMar>
              <w:top w:w="60" w:type="dxa"/>
              <w:start w:w="80" w:type="dxa"/>
              <w:bottom w:w="60" w:type="dxa"/>
              <w:end w:w="80" w:type="dxa"/>
            </w:tcMar>
          </w:tcPr>
          <w:p>
            <w:pPr>
              <w:spacing w:after="20"/>
            </w:pPr>
            <w:r>
              <w:rPr>
                <w:sz w:val="15"/>
              </w:rPr>
              <w:t>B</w:t>
            </w:r>
          </w:p>
        </w:tc>
        <w:tc>
          <w:tcPr>
            <w:tcW w:type="dxa" w:w="4464"/>
            <w:vAlign w:val="top"/>
            <w:shd w:fill="F7F3EA"/>
            <w:tcMar>
              <w:top w:w="60" w:type="dxa"/>
              <w:start w:w="80" w:type="dxa"/>
              <w:bottom w:w="60" w:type="dxa"/>
              <w:end w:w="80" w:type="dxa"/>
            </w:tcMar>
          </w:tcPr>
          <w:p>
            <w:pPr>
              <w:spacing w:after="20"/>
            </w:pPr>
            <w:r>
              <w:rPr>
                <w:sz w:val="15"/>
              </w:rPr>
              <w:t>An ideology justifying expansion</w:t>
            </w:r>
          </w:p>
        </w:tc>
        <w:tc>
          <w:tcPr>
            <w:tcW w:type="dxa" w:w="5112"/>
            <w:vAlign w:val="top"/>
            <w:shd w:fill="F7F3EA"/>
            <w:tcMar>
              <w:top w:w="60" w:type="dxa"/>
              <w:start w:w="80" w:type="dxa"/>
              <w:bottom w:w="60" w:type="dxa"/>
              <w:end w:w="80" w:type="dxa"/>
            </w:tcMar>
          </w:tcPr>
          <w:p>
            <w:pPr>
              <w:spacing w:after="20"/>
            </w:pPr>
            <w:r>
              <w:rPr>
                <w:sz w:val="15"/>
              </w:rPr>
              <w:t>The correct response connects the unit’s evidence to its central historical interpretation.</w:t>
            </w:r>
          </w:p>
        </w:tc>
      </w:tr>
      <w:tr>
        <w:trPr>
          <w:cantSplit w:val="true"/>
        </w:trPr>
        <w:tc>
          <w:tcPr>
            <w:tcW w:type="dxa" w:w="504"/>
            <w:vAlign w:val="top"/>
            <w:tcMar>
              <w:top w:w="60" w:type="dxa"/>
              <w:start w:w="80" w:type="dxa"/>
              <w:bottom w:w="60" w:type="dxa"/>
              <w:end w:w="80" w:type="dxa"/>
            </w:tcMar>
          </w:tcPr>
          <w:p>
            <w:pPr>
              <w:spacing w:after="20"/>
            </w:pPr>
            <w:r>
              <w:rPr>
                <w:sz w:val="15"/>
              </w:rPr>
              <w:t>3</w:t>
            </w:r>
          </w:p>
        </w:tc>
        <w:tc>
          <w:tcPr>
            <w:tcW w:type="dxa" w:w="576"/>
            <w:vAlign w:val="top"/>
            <w:tcMar>
              <w:top w:w="60" w:type="dxa"/>
              <w:start w:w="80" w:type="dxa"/>
              <w:bottom w:w="60" w:type="dxa"/>
              <w:end w:w="80" w:type="dxa"/>
            </w:tcMar>
          </w:tcPr>
          <w:p>
            <w:pPr>
              <w:spacing w:after="20"/>
            </w:pPr>
            <w:r>
              <w:rPr>
                <w:sz w:val="15"/>
              </w:rPr>
              <w:t>B</w:t>
            </w:r>
          </w:p>
        </w:tc>
        <w:tc>
          <w:tcPr>
            <w:tcW w:type="dxa" w:w="4464"/>
            <w:vAlign w:val="top"/>
            <w:tcMar>
              <w:top w:w="60" w:type="dxa"/>
              <w:start w:w="80" w:type="dxa"/>
              <w:bottom w:w="60" w:type="dxa"/>
              <w:end w:w="80" w:type="dxa"/>
            </w:tcMar>
          </w:tcPr>
          <w:p>
            <w:pPr>
              <w:spacing w:after="20"/>
            </w:pPr>
            <w:r>
              <w:rPr>
                <w:sz w:val="15"/>
              </w:rPr>
              <w:t>It ended the U.S.–Mexico War</w:t>
            </w:r>
          </w:p>
        </w:tc>
        <w:tc>
          <w:tcPr>
            <w:tcW w:type="dxa" w:w="5112"/>
            <w:vAlign w:val="top"/>
            <w:tcMar>
              <w:top w:w="60" w:type="dxa"/>
              <w:start w:w="80" w:type="dxa"/>
              <w:bottom w:w="60" w:type="dxa"/>
              <w:end w:w="80" w:type="dxa"/>
            </w:tcMar>
          </w:tcPr>
          <w:p>
            <w:pPr>
              <w:spacing w:after="20"/>
            </w:pPr>
            <w:r>
              <w:rPr>
                <w:sz w:val="15"/>
              </w:rPr>
              <w:t>The correct response connects the unit’s evidence to its central historical interpretation.</w:t>
            </w:r>
          </w:p>
        </w:tc>
      </w:tr>
      <w:tr>
        <w:trPr>
          <w:cantSplit w:val="true"/>
        </w:trPr>
        <w:tc>
          <w:tcPr>
            <w:tcW w:type="dxa" w:w="504"/>
            <w:vAlign w:val="top"/>
            <w:shd w:fill="F7F3EA"/>
            <w:tcMar>
              <w:top w:w="60" w:type="dxa"/>
              <w:start w:w="80" w:type="dxa"/>
              <w:bottom w:w="60" w:type="dxa"/>
              <w:end w:w="80" w:type="dxa"/>
            </w:tcMar>
          </w:tcPr>
          <w:p>
            <w:pPr>
              <w:spacing w:after="20"/>
            </w:pPr>
            <w:r>
              <w:rPr>
                <w:sz w:val="15"/>
              </w:rPr>
              <w:t>4</w:t>
            </w:r>
          </w:p>
        </w:tc>
        <w:tc>
          <w:tcPr>
            <w:tcW w:type="dxa" w:w="576"/>
            <w:vAlign w:val="top"/>
            <w:shd w:fill="F7F3EA"/>
            <w:tcMar>
              <w:top w:w="60" w:type="dxa"/>
              <w:start w:w="80" w:type="dxa"/>
              <w:bottom w:w="60" w:type="dxa"/>
              <w:end w:w="80" w:type="dxa"/>
            </w:tcMar>
          </w:tcPr>
          <w:p>
            <w:pPr>
              <w:spacing w:after="20"/>
            </w:pPr>
            <w:r>
              <w:rPr>
                <w:sz w:val="15"/>
              </w:rPr>
              <w:t>Manual</w:t>
            </w:r>
          </w:p>
        </w:tc>
        <w:tc>
          <w:tcPr>
            <w:tcW w:type="dxa" w:w="4464"/>
            <w:vAlign w:val="top"/>
            <w:shd w:fill="F7F3EA"/>
            <w:tcMar>
              <w:top w:w="60" w:type="dxa"/>
              <w:start w:w="80" w:type="dxa"/>
              <w:bottom w:w="60" w:type="dxa"/>
              <w:end w:w="80" w:type="dxa"/>
            </w:tcMar>
          </w:tcPr>
          <w:p>
            <w:pPr>
              <w:spacing w:after="20"/>
            </w:pPr>
            <w:r>
              <w:rPr>
                <w:sz w:val="15"/>
              </w:rPr>
              <w:t>Student-generated evidence-and-judgment response</w:t>
            </w:r>
          </w:p>
        </w:tc>
        <w:tc>
          <w:tcPr>
            <w:tcW w:type="dxa" w:w="5112"/>
            <w:vAlign w:val="top"/>
            <w:shd w:fill="F7F3EA"/>
            <w:tcMar>
              <w:top w:w="60" w:type="dxa"/>
              <w:start w:w="80" w:type="dxa"/>
              <w:bottom w:w="60" w:type="dxa"/>
              <w:end w:w="80" w:type="dxa"/>
            </w:tcMar>
          </w:tcPr>
          <w:p>
            <w:pPr>
              <w:spacing w:after="20"/>
            </w:pPr>
            <w:r>
              <w:rPr>
                <w:sz w:val="15"/>
              </w:rPr>
              <w:t>Look for a specific course source or claim, accurate context, explicit reasoning, and a meaningful limit or uncertainty.</w:t>
            </w:r>
          </w:p>
        </w:tc>
      </w:tr>
      <w:tr>
        <w:trPr>
          <w:cantSplit w:val="true"/>
        </w:trPr>
        <w:tc>
          <w:tcPr>
            <w:tcW w:type="dxa" w:w="504"/>
            <w:vAlign w:val="top"/>
            <w:tcMar>
              <w:top w:w="60" w:type="dxa"/>
              <w:start w:w="80" w:type="dxa"/>
              <w:bottom w:w="60" w:type="dxa"/>
              <w:end w:w="80" w:type="dxa"/>
            </w:tcMar>
          </w:tcPr>
          <w:p>
            <w:pPr>
              <w:spacing w:after="20"/>
            </w:pPr>
            <w:r>
              <w:rPr>
                <w:sz w:val="15"/>
              </w:rPr>
              <w:t>5</w:t>
            </w:r>
          </w:p>
        </w:tc>
        <w:tc>
          <w:tcPr>
            <w:tcW w:type="dxa" w:w="576"/>
            <w:vAlign w:val="top"/>
            <w:tcMar>
              <w:top w:w="60" w:type="dxa"/>
              <w:start w:w="80" w:type="dxa"/>
              <w:bottom w:w="60" w:type="dxa"/>
              <w:end w:w="80" w:type="dxa"/>
            </w:tcMar>
          </w:tcPr>
          <w:p>
            <w:pPr>
              <w:spacing w:after="20"/>
            </w:pPr>
            <w:r>
              <w:rPr>
                <w:sz w:val="15"/>
              </w:rPr>
              <w:t>Manual</w:t>
            </w:r>
          </w:p>
        </w:tc>
        <w:tc>
          <w:tcPr>
            <w:tcW w:type="dxa" w:w="4464"/>
            <w:vAlign w:val="top"/>
            <w:tcMar>
              <w:top w:w="60" w:type="dxa"/>
              <w:start w:w="80" w:type="dxa"/>
              <w:bottom w:w="60" w:type="dxa"/>
              <w:end w:w="80" w:type="dxa"/>
            </w:tcMar>
          </w:tcPr>
          <w:p>
            <w:pPr>
              <w:spacing w:after="20"/>
            </w:pPr>
            <w:r>
              <w:rPr>
                <w:sz w:val="15"/>
              </w:rPr>
              <w:t>Student-generated evidence-and-judgment response</w:t>
            </w:r>
          </w:p>
        </w:tc>
        <w:tc>
          <w:tcPr>
            <w:tcW w:type="dxa" w:w="5112"/>
            <w:vAlign w:val="top"/>
            <w:tcMar>
              <w:top w:w="60" w:type="dxa"/>
              <w:start w:w="80" w:type="dxa"/>
              <w:bottom w:w="60" w:type="dxa"/>
              <w:end w:w="80" w:type="dxa"/>
            </w:tcMar>
          </w:tcPr>
          <w:p>
            <w:pPr>
              <w:spacing w:after="20"/>
            </w:pPr>
            <w:r>
              <w:rPr>
                <w:sz w:val="15"/>
              </w:rPr>
              <w:t>Look for a specific course source or claim, accurate context, explicit reasoning, and a meaningful limit or uncertainty.</w:t>
            </w:r>
          </w:p>
        </w:tc>
      </w:tr>
    </w:tbl>
    <w:p>
      <w:pPr>
        <w:spacing w:after="20"/>
      </w:pPr>
    </w:p>
    <w:p>
      <w:pPr>
        <w:pStyle w:val="Heading2"/>
      </w:pPr>
      <w:r>
        <w:t>Reading Check 4: Overland Migration</w:t>
      </w:r>
    </w:p>
    <w:tbl>
      <w:tblPr>
        <w:tblStyle w:val="TableGrid"/>
        <w:tblW w:type="auto" w:w="0"/>
        <w:jc w:val="center"/>
        <w:tblLook w:firstColumn="1" w:firstRow="1" w:lastColumn="0" w:lastRow="0" w:noHBand="0" w:noVBand="1" w:val="04A0"/>
      </w:tblPr>
      <w:tblGrid>
        <w:gridCol w:w="2541"/>
        <w:gridCol w:w="2541"/>
        <w:gridCol w:w="2541"/>
        <w:gridCol w:w="2541"/>
      </w:tblGrid>
      <w:tr>
        <w:trPr>
          <w:tblHeader w:val="true"/>
          <w:cantSplit w:val="true"/>
        </w:trPr>
        <w:tc>
          <w:tcPr>
            <w:tcW w:type="dxa" w:w="504"/>
            <w:shd w:fill="24364B"/>
            <w:vAlign w:val="center"/>
            <w:tcMar>
              <w:top w:w="60" w:type="dxa"/>
              <w:start w:w="80" w:type="dxa"/>
              <w:bottom w:w="60" w:type="dxa"/>
              <w:end w:w="80" w:type="dxa"/>
            </w:tcMar>
          </w:tcPr>
          <w:p>
            <w:r>
              <w:rPr>
                <w:b/>
                <w:color w:val="FFFFFF"/>
                <w:sz w:val="15"/>
              </w:rPr>
              <w:t>Q</w:t>
            </w:r>
          </w:p>
        </w:tc>
        <w:tc>
          <w:tcPr>
            <w:tcW w:type="dxa" w:w="576"/>
            <w:shd w:fill="24364B"/>
            <w:vAlign w:val="center"/>
            <w:tcMar>
              <w:top w:w="60" w:type="dxa"/>
              <w:start w:w="80" w:type="dxa"/>
              <w:bottom w:w="60" w:type="dxa"/>
              <w:end w:w="80" w:type="dxa"/>
            </w:tcMar>
          </w:tcPr>
          <w:p>
            <w:r>
              <w:rPr>
                <w:b/>
                <w:color w:val="FFFFFF"/>
                <w:sz w:val="15"/>
              </w:rPr>
              <w:t>Key</w:t>
            </w:r>
          </w:p>
        </w:tc>
        <w:tc>
          <w:tcPr>
            <w:tcW w:type="dxa" w:w="4464"/>
            <w:shd w:fill="24364B"/>
            <w:vAlign w:val="center"/>
            <w:tcMar>
              <w:top w:w="60" w:type="dxa"/>
              <w:start w:w="80" w:type="dxa"/>
              <w:bottom w:w="60" w:type="dxa"/>
              <w:end w:w="80" w:type="dxa"/>
            </w:tcMar>
          </w:tcPr>
          <w:p>
            <w:r>
              <w:rPr>
                <w:b/>
                <w:color w:val="FFFFFF"/>
                <w:sz w:val="15"/>
              </w:rPr>
              <w:t>Correct response</w:t>
            </w:r>
          </w:p>
        </w:tc>
        <w:tc>
          <w:tcPr>
            <w:tcW w:type="dxa" w:w="5112"/>
            <w:shd w:fill="24364B"/>
            <w:vAlign w:val="center"/>
            <w:tcMar>
              <w:top w:w="60" w:type="dxa"/>
              <w:start w:w="80" w:type="dxa"/>
              <w:bottom w:w="60" w:type="dxa"/>
              <w:end w:w="80" w:type="dxa"/>
            </w:tcMar>
          </w:tcPr>
          <w:p>
            <w:r>
              <w:rPr>
                <w:b/>
                <w:color w:val="FFFFFF"/>
                <w:sz w:val="15"/>
              </w:rPr>
              <w:t>Rationale</w:t>
            </w:r>
          </w:p>
        </w:tc>
      </w:tr>
      <w:tr>
        <w:trPr>
          <w:cantSplit w:val="true"/>
        </w:trPr>
        <w:tc>
          <w:tcPr>
            <w:tcW w:type="dxa" w:w="504"/>
            <w:vAlign w:val="top"/>
            <w:tcMar>
              <w:top w:w="60" w:type="dxa"/>
              <w:start w:w="80" w:type="dxa"/>
              <w:bottom w:w="60" w:type="dxa"/>
              <w:end w:w="80" w:type="dxa"/>
            </w:tcMar>
          </w:tcPr>
          <w:p>
            <w:pPr>
              <w:spacing w:after="20"/>
            </w:pPr>
            <w:r>
              <w:rPr>
                <w:sz w:val="15"/>
              </w:rPr>
              <w:t>1</w:t>
            </w:r>
          </w:p>
        </w:tc>
        <w:tc>
          <w:tcPr>
            <w:tcW w:type="dxa" w:w="576"/>
            <w:vAlign w:val="top"/>
            <w:tcMar>
              <w:top w:w="60" w:type="dxa"/>
              <w:start w:w="80" w:type="dxa"/>
              <w:bottom w:w="60" w:type="dxa"/>
              <w:end w:w="80" w:type="dxa"/>
            </w:tcMar>
          </w:tcPr>
          <w:p>
            <w:pPr>
              <w:spacing w:after="20"/>
            </w:pPr>
            <w:r>
              <w:rPr>
                <w:sz w:val="15"/>
              </w:rPr>
              <w:t>A</w:t>
            </w:r>
          </w:p>
        </w:tc>
        <w:tc>
          <w:tcPr>
            <w:tcW w:type="dxa" w:w="4464"/>
            <w:vAlign w:val="top"/>
            <w:tcMar>
              <w:top w:w="60" w:type="dxa"/>
              <w:start w:w="80" w:type="dxa"/>
              <w:bottom w:w="60" w:type="dxa"/>
              <w:end w:w="80" w:type="dxa"/>
            </w:tcMar>
          </w:tcPr>
          <w:p>
            <w:pPr>
              <w:spacing w:after="20"/>
            </w:pPr>
            <w:r>
              <w:rPr>
                <w:sz w:val="15"/>
              </w:rPr>
              <w:t>They reveal a situated, selective view</w:t>
            </w:r>
          </w:p>
        </w:tc>
        <w:tc>
          <w:tcPr>
            <w:tcW w:type="dxa" w:w="5112"/>
            <w:vAlign w:val="top"/>
            <w:tcMar>
              <w:top w:w="60" w:type="dxa"/>
              <w:start w:w="80" w:type="dxa"/>
              <w:bottom w:w="60" w:type="dxa"/>
              <w:end w:w="80" w:type="dxa"/>
            </w:tcMar>
          </w:tcPr>
          <w:p>
            <w:pPr>
              <w:spacing w:after="20"/>
            </w:pPr>
            <w:r>
              <w:rPr>
                <w:sz w:val="15"/>
              </w:rPr>
              <w:t>The correct response identifies the historically relevant institution, policy, or analytical move.</w:t>
            </w:r>
          </w:p>
        </w:tc>
      </w:tr>
      <w:tr>
        <w:trPr>
          <w:cantSplit w:val="true"/>
        </w:trPr>
        <w:tc>
          <w:tcPr>
            <w:tcW w:type="dxa" w:w="504"/>
            <w:vAlign w:val="top"/>
            <w:shd w:fill="F7F3EA"/>
            <w:tcMar>
              <w:top w:w="60" w:type="dxa"/>
              <w:start w:w="80" w:type="dxa"/>
              <w:bottom w:w="60" w:type="dxa"/>
              <w:end w:w="80" w:type="dxa"/>
            </w:tcMar>
          </w:tcPr>
          <w:p>
            <w:pPr>
              <w:spacing w:after="20"/>
            </w:pPr>
            <w:r>
              <w:rPr>
                <w:sz w:val="15"/>
              </w:rPr>
              <w:t>2</w:t>
            </w:r>
          </w:p>
        </w:tc>
        <w:tc>
          <w:tcPr>
            <w:tcW w:type="dxa" w:w="576"/>
            <w:vAlign w:val="top"/>
            <w:shd w:fill="F7F3EA"/>
            <w:tcMar>
              <w:top w:w="60" w:type="dxa"/>
              <w:start w:w="80" w:type="dxa"/>
              <w:bottom w:w="60" w:type="dxa"/>
              <w:end w:w="80" w:type="dxa"/>
            </w:tcMar>
          </w:tcPr>
          <w:p>
            <w:pPr>
              <w:spacing w:after="20"/>
            </w:pPr>
            <w:r>
              <w:rPr>
                <w:sz w:val="15"/>
              </w:rPr>
              <w:t>D</w:t>
            </w:r>
          </w:p>
        </w:tc>
        <w:tc>
          <w:tcPr>
            <w:tcW w:type="dxa" w:w="4464"/>
            <w:vAlign w:val="top"/>
            <w:shd w:fill="F7F3EA"/>
            <w:tcMar>
              <w:top w:w="60" w:type="dxa"/>
              <w:start w:w="80" w:type="dxa"/>
              <w:bottom w:w="60" w:type="dxa"/>
              <w:end w:w="80" w:type="dxa"/>
            </w:tcMar>
          </w:tcPr>
          <w:p>
            <w:pPr>
              <w:spacing w:after="20"/>
            </w:pPr>
            <w:r>
              <w:rPr>
                <w:sz w:val="15"/>
              </w:rPr>
              <w:t>Movement depended on resources and choices</w:t>
            </w:r>
          </w:p>
        </w:tc>
        <w:tc>
          <w:tcPr>
            <w:tcW w:type="dxa" w:w="5112"/>
            <w:vAlign w:val="top"/>
            <w:shd w:fill="F7F3EA"/>
            <w:tcMar>
              <w:top w:w="60" w:type="dxa"/>
              <w:start w:w="80" w:type="dxa"/>
              <w:bottom w:w="60" w:type="dxa"/>
              <w:end w:w="80" w:type="dxa"/>
            </w:tcMar>
          </w:tcPr>
          <w:p>
            <w:pPr>
              <w:spacing w:after="20"/>
            </w:pPr>
            <w:r>
              <w:rPr>
                <w:sz w:val="15"/>
              </w:rPr>
              <w:t>The correct response best respects source limits and historical complexity.</w:t>
            </w:r>
          </w:p>
        </w:tc>
      </w:tr>
      <w:tr>
        <w:trPr>
          <w:cantSplit w:val="true"/>
        </w:trPr>
        <w:tc>
          <w:tcPr>
            <w:tcW w:type="dxa" w:w="504"/>
            <w:vAlign w:val="top"/>
            <w:tcMar>
              <w:top w:w="60" w:type="dxa"/>
              <w:start w:w="80" w:type="dxa"/>
              <w:bottom w:w="60" w:type="dxa"/>
              <w:end w:w="80" w:type="dxa"/>
            </w:tcMar>
          </w:tcPr>
          <w:p>
            <w:pPr>
              <w:spacing w:after="20"/>
            </w:pPr>
            <w:r>
              <w:rPr>
                <w:sz w:val="15"/>
              </w:rPr>
              <w:t>3</w:t>
            </w:r>
          </w:p>
        </w:tc>
        <w:tc>
          <w:tcPr>
            <w:tcW w:type="dxa" w:w="576"/>
            <w:vAlign w:val="top"/>
            <w:tcMar>
              <w:top w:w="60" w:type="dxa"/>
              <w:start w:w="80" w:type="dxa"/>
              <w:bottom w:w="60" w:type="dxa"/>
              <w:end w:w="80" w:type="dxa"/>
            </w:tcMar>
          </w:tcPr>
          <w:p>
            <w:pPr>
              <w:spacing w:after="20"/>
            </w:pPr>
            <w:r>
              <w:rPr>
                <w:sz w:val="15"/>
              </w:rPr>
              <w:t>B</w:t>
            </w:r>
          </w:p>
        </w:tc>
        <w:tc>
          <w:tcPr>
            <w:tcW w:type="dxa" w:w="4464"/>
            <w:vAlign w:val="top"/>
            <w:tcMar>
              <w:top w:w="60" w:type="dxa"/>
              <w:start w:w="80" w:type="dxa"/>
              <w:bottom w:w="60" w:type="dxa"/>
              <w:end w:w="80" w:type="dxa"/>
            </w:tcMar>
          </w:tcPr>
          <w:p>
            <w:pPr>
              <w:spacing w:after="20"/>
            </w:pPr>
            <w:r>
              <w:rPr>
                <w:sz w:val="15"/>
              </w:rPr>
              <w:t>Deaths without a population at risk</w:t>
            </w:r>
          </w:p>
        </w:tc>
        <w:tc>
          <w:tcPr>
            <w:tcW w:type="dxa" w:w="5112"/>
            <w:vAlign w:val="top"/>
            <w:tcMar>
              <w:top w:w="60" w:type="dxa"/>
              <w:start w:w="80" w:type="dxa"/>
              <w:bottom w:w="60" w:type="dxa"/>
              <w:end w:w="80" w:type="dxa"/>
            </w:tcMar>
          </w:tcPr>
          <w:p>
            <w:pPr>
              <w:spacing w:after="20"/>
            </w:pPr>
            <w:r>
              <w:rPr>
                <w:sz w:val="15"/>
              </w:rPr>
              <w:t>The correct response connects the unit’s evidence to its central historical interpretation.</w:t>
            </w:r>
          </w:p>
        </w:tc>
      </w:tr>
      <w:tr>
        <w:trPr>
          <w:cantSplit w:val="true"/>
        </w:trPr>
        <w:tc>
          <w:tcPr>
            <w:tcW w:type="dxa" w:w="504"/>
            <w:vAlign w:val="top"/>
            <w:shd w:fill="F7F3EA"/>
            <w:tcMar>
              <w:top w:w="60" w:type="dxa"/>
              <w:start w:w="80" w:type="dxa"/>
              <w:bottom w:w="60" w:type="dxa"/>
              <w:end w:w="80" w:type="dxa"/>
            </w:tcMar>
          </w:tcPr>
          <w:p>
            <w:pPr>
              <w:spacing w:after="20"/>
            </w:pPr>
            <w:r>
              <w:rPr>
                <w:sz w:val="15"/>
              </w:rPr>
              <w:t>4</w:t>
            </w:r>
          </w:p>
        </w:tc>
        <w:tc>
          <w:tcPr>
            <w:tcW w:type="dxa" w:w="576"/>
            <w:vAlign w:val="top"/>
            <w:shd w:fill="F7F3EA"/>
            <w:tcMar>
              <w:top w:w="60" w:type="dxa"/>
              <w:start w:w="80" w:type="dxa"/>
              <w:bottom w:w="60" w:type="dxa"/>
              <w:end w:w="80" w:type="dxa"/>
            </w:tcMar>
          </w:tcPr>
          <w:p>
            <w:pPr>
              <w:spacing w:after="20"/>
            </w:pPr>
            <w:r>
              <w:rPr>
                <w:sz w:val="15"/>
              </w:rPr>
              <w:t>Manual</w:t>
            </w:r>
          </w:p>
        </w:tc>
        <w:tc>
          <w:tcPr>
            <w:tcW w:type="dxa" w:w="4464"/>
            <w:vAlign w:val="top"/>
            <w:shd w:fill="F7F3EA"/>
            <w:tcMar>
              <w:top w:w="60" w:type="dxa"/>
              <w:start w:w="80" w:type="dxa"/>
              <w:bottom w:w="60" w:type="dxa"/>
              <w:end w:w="80" w:type="dxa"/>
            </w:tcMar>
          </w:tcPr>
          <w:p>
            <w:pPr>
              <w:spacing w:after="20"/>
            </w:pPr>
            <w:r>
              <w:rPr>
                <w:sz w:val="15"/>
              </w:rPr>
              <w:t>Student-generated evidence-and-judgment response</w:t>
            </w:r>
          </w:p>
        </w:tc>
        <w:tc>
          <w:tcPr>
            <w:tcW w:type="dxa" w:w="5112"/>
            <w:vAlign w:val="top"/>
            <w:shd w:fill="F7F3EA"/>
            <w:tcMar>
              <w:top w:w="60" w:type="dxa"/>
              <w:start w:w="80" w:type="dxa"/>
              <w:bottom w:w="60" w:type="dxa"/>
              <w:end w:w="80" w:type="dxa"/>
            </w:tcMar>
          </w:tcPr>
          <w:p>
            <w:pPr>
              <w:spacing w:after="20"/>
            </w:pPr>
            <w:r>
              <w:rPr>
                <w:sz w:val="15"/>
              </w:rPr>
              <w:t>Look for a specific course source or claim, accurate context, explicit reasoning, and a meaningful limit or uncertainty.</w:t>
            </w:r>
          </w:p>
        </w:tc>
      </w:tr>
      <w:tr>
        <w:trPr>
          <w:cantSplit w:val="true"/>
        </w:trPr>
        <w:tc>
          <w:tcPr>
            <w:tcW w:type="dxa" w:w="504"/>
            <w:vAlign w:val="top"/>
            <w:tcMar>
              <w:top w:w="60" w:type="dxa"/>
              <w:start w:w="80" w:type="dxa"/>
              <w:bottom w:w="60" w:type="dxa"/>
              <w:end w:w="80" w:type="dxa"/>
            </w:tcMar>
          </w:tcPr>
          <w:p>
            <w:pPr>
              <w:spacing w:after="20"/>
            </w:pPr>
            <w:r>
              <w:rPr>
                <w:sz w:val="15"/>
              </w:rPr>
              <w:t>5</w:t>
            </w:r>
          </w:p>
        </w:tc>
        <w:tc>
          <w:tcPr>
            <w:tcW w:type="dxa" w:w="576"/>
            <w:vAlign w:val="top"/>
            <w:tcMar>
              <w:top w:w="60" w:type="dxa"/>
              <w:start w:w="80" w:type="dxa"/>
              <w:bottom w:w="60" w:type="dxa"/>
              <w:end w:w="80" w:type="dxa"/>
            </w:tcMar>
          </w:tcPr>
          <w:p>
            <w:pPr>
              <w:spacing w:after="20"/>
            </w:pPr>
            <w:r>
              <w:rPr>
                <w:sz w:val="15"/>
              </w:rPr>
              <w:t>Manual</w:t>
            </w:r>
          </w:p>
        </w:tc>
        <w:tc>
          <w:tcPr>
            <w:tcW w:type="dxa" w:w="4464"/>
            <w:vAlign w:val="top"/>
            <w:tcMar>
              <w:top w:w="60" w:type="dxa"/>
              <w:start w:w="80" w:type="dxa"/>
              <w:bottom w:w="60" w:type="dxa"/>
              <w:end w:w="80" w:type="dxa"/>
            </w:tcMar>
          </w:tcPr>
          <w:p>
            <w:pPr>
              <w:spacing w:after="20"/>
            </w:pPr>
            <w:r>
              <w:rPr>
                <w:sz w:val="15"/>
              </w:rPr>
              <w:t>Student-generated evidence-and-judgment response</w:t>
            </w:r>
          </w:p>
        </w:tc>
        <w:tc>
          <w:tcPr>
            <w:tcW w:type="dxa" w:w="5112"/>
            <w:vAlign w:val="top"/>
            <w:tcMar>
              <w:top w:w="60" w:type="dxa"/>
              <w:start w:w="80" w:type="dxa"/>
              <w:bottom w:w="60" w:type="dxa"/>
              <w:end w:w="80" w:type="dxa"/>
            </w:tcMar>
          </w:tcPr>
          <w:p>
            <w:pPr>
              <w:spacing w:after="20"/>
            </w:pPr>
            <w:r>
              <w:rPr>
                <w:sz w:val="15"/>
              </w:rPr>
              <w:t>Look for a specific course source or claim, accurate context, explicit reasoning, and a meaningful limit or uncertainty.</w:t>
            </w:r>
          </w:p>
        </w:tc>
      </w:tr>
    </w:tbl>
    <w:p>
      <w:pPr>
        <w:spacing w:after="20"/>
      </w:pPr>
    </w:p>
    <w:p>
      <w:pPr>
        <w:pStyle w:val="Heading2"/>
      </w:pPr>
      <w:r>
        <w:t>Reading Check 5: Civil War in the West</w:t>
      </w:r>
    </w:p>
    <w:tbl>
      <w:tblPr>
        <w:tblStyle w:val="TableGrid"/>
        <w:tblW w:type="auto" w:w="0"/>
        <w:jc w:val="center"/>
        <w:tblLook w:firstColumn="1" w:firstRow="1" w:lastColumn="0" w:lastRow="0" w:noHBand="0" w:noVBand="1" w:val="04A0"/>
      </w:tblPr>
      <w:tblGrid>
        <w:gridCol w:w="2541"/>
        <w:gridCol w:w="2541"/>
        <w:gridCol w:w="2541"/>
        <w:gridCol w:w="2541"/>
      </w:tblGrid>
      <w:tr>
        <w:trPr>
          <w:tblHeader w:val="true"/>
          <w:cantSplit w:val="true"/>
        </w:trPr>
        <w:tc>
          <w:tcPr>
            <w:tcW w:type="dxa" w:w="504"/>
            <w:shd w:fill="24364B"/>
            <w:vAlign w:val="center"/>
            <w:tcMar>
              <w:top w:w="60" w:type="dxa"/>
              <w:start w:w="80" w:type="dxa"/>
              <w:bottom w:w="60" w:type="dxa"/>
              <w:end w:w="80" w:type="dxa"/>
            </w:tcMar>
          </w:tcPr>
          <w:p>
            <w:r>
              <w:rPr>
                <w:b/>
                <w:color w:val="FFFFFF"/>
                <w:sz w:val="15"/>
              </w:rPr>
              <w:t>Q</w:t>
            </w:r>
          </w:p>
        </w:tc>
        <w:tc>
          <w:tcPr>
            <w:tcW w:type="dxa" w:w="576"/>
            <w:shd w:fill="24364B"/>
            <w:vAlign w:val="center"/>
            <w:tcMar>
              <w:top w:w="60" w:type="dxa"/>
              <w:start w:w="80" w:type="dxa"/>
              <w:bottom w:w="60" w:type="dxa"/>
              <w:end w:w="80" w:type="dxa"/>
            </w:tcMar>
          </w:tcPr>
          <w:p>
            <w:r>
              <w:rPr>
                <w:b/>
                <w:color w:val="FFFFFF"/>
                <w:sz w:val="15"/>
              </w:rPr>
              <w:t>Key</w:t>
            </w:r>
          </w:p>
        </w:tc>
        <w:tc>
          <w:tcPr>
            <w:tcW w:type="dxa" w:w="4464"/>
            <w:shd w:fill="24364B"/>
            <w:vAlign w:val="center"/>
            <w:tcMar>
              <w:top w:w="60" w:type="dxa"/>
              <w:start w:w="80" w:type="dxa"/>
              <w:bottom w:w="60" w:type="dxa"/>
              <w:end w:w="80" w:type="dxa"/>
            </w:tcMar>
          </w:tcPr>
          <w:p>
            <w:r>
              <w:rPr>
                <w:b/>
                <w:color w:val="FFFFFF"/>
                <w:sz w:val="15"/>
              </w:rPr>
              <w:t>Correct response</w:t>
            </w:r>
          </w:p>
        </w:tc>
        <w:tc>
          <w:tcPr>
            <w:tcW w:type="dxa" w:w="5112"/>
            <w:shd w:fill="24364B"/>
            <w:vAlign w:val="center"/>
            <w:tcMar>
              <w:top w:w="60" w:type="dxa"/>
              <w:start w:w="80" w:type="dxa"/>
              <w:bottom w:w="60" w:type="dxa"/>
              <w:end w:w="80" w:type="dxa"/>
            </w:tcMar>
          </w:tcPr>
          <w:p>
            <w:r>
              <w:rPr>
                <w:b/>
                <w:color w:val="FFFFFF"/>
                <w:sz w:val="15"/>
              </w:rPr>
              <w:t>Rationale</w:t>
            </w:r>
          </w:p>
        </w:tc>
      </w:tr>
      <w:tr>
        <w:trPr>
          <w:cantSplit w:val="true"/>
        </w:trPr>
        <w:tc>
          <w:tcPr>
            <w:tcW w:type="dxa" w:w="504"/>
            <w:vAlign w:val="top"/>
            <w:tcMar>
              <w:top w:w="60" w:type="dxa"/>
              <w:start w:w="80" w:type="dxa"/>
              <w:bottom w:w="60" w:type="dxa"/>
              <w:end w:w="80" w:type="dxa"/>
            </w:tcMar>
          </w:tcPr>
          <w:p>
            <w:pPr>
              <w:spacing w:after="20"/>
            </w:pPr>
            <w:r>
              <w:rPr>
                <w:sz w:val="15"/>
              </w:rPr>
              <w:t>1</w:t>
            </w:r>
          </w:p>
        </w:tc>
        <w:tc>
          <w:tcPr>
            <w:tcW w:type="dxa" w:w="576"/>
            <w:vAlign w:val="top"/>
            <w:tcMar>
              <w:top w:w="60" w:type="dxa"/>
              <w:start w:w="80" w:type="dxa"/>
              <w:bottom w:w="60" w:type="dxa"/>
              <w:end w:w="80" w:type="dxa"/>
            </w:tcMar>
          </w:tcPr>
          <w:p>
            <w:pPr>
              <w:spacing w:after="20"/>
            </w:pPr>
            <w:r>
              <w:rPr>
                <w:sz w:val="15"/>
              </w:rPr>
              <w:t>C</w:t>
            </w:r>
          </w:p>
        </w:tc>
        <w:tc>
          <w:tcPr>
            <w:tcW w:type="dxa" w:w="4464"/>
            <w:vAlign w:val="top"/>
            <w:tcMar>
              <w:top w:w="60" w:type="dxa"/>
              <w:start w:w="80" w:type="dxa"/>
              <w:bottom w:w="60" w:type="dxa"/>
              <w:end w:w="80" w:type="dxa"/>
            </w:tcMar>
          </w:tcPr>
          <w:p>
            <w:pPr>
              <w:spacing w:after="20"/>
            </w:pPr>
            <w:r>
              <w:rPr>
                <w:sz w:val="15"/>
              </w:rPr>
              <w:t>It reveals land and governance struggles</w:t>
            </w:r>
          </w:p>
        </w:tc>
        <w:tc>
          <w:tcPr>
            <w:tcW w:type="dxa" w:w="5112"/>
            <w:vAlign w:val="top"/>
            <w:tcMar>
              <w:top w:w="60" w:type="dxa"/>
              <w:start w:w="80" w:type="dxa"/>
              <w:bottom w:w="60" w:type="dxa"/>
              <w:end w:w="80" w:type="dxa"/>
            </w:tcMar>
          </w:tcPr>
          <w:p>
            <w:pPr>
              <w:spacing w:after="20"/>
            </w:pPr>
            <w:r>
              <w:rPr>
                <w:sz w:val="15"/>
              </w:rPr>
              <w:t>The correct response identifies corroboration, context, or overlapping power as the key reasoning step.</w:t>
            </w:r>
          </w:p>
        </w:tc>
      </w:tr>
      <w:tr>
        <w:trPr>
          <w:cantSplit w:val="true"/>
        </w:trPr>
        <w:tc>
          <w:tcPr>
            <w:tcW w:type="dxa" w:w="504"/>
            <w:vAlign w:val="top"/>
            <w:shd w:fill="F7F3EA"/>
            <w:tcMar>
              <w:top w:w="60" w:type="dxa"/>
              <w:start w:w="80" w:type="dxa"/>
              <w:bottom w:w="60" w:type="dxa"/>
              <w:end w:w="80" w:type="dxa"/>
            </w:tcMar>
          </w:tcPr>
          <w:p>
            <w:pPr>
              <w:spacing w:after="20"/>
            </w:pPr>
            <w:r>
              <w:rPr>
                <w:sz w:val="15"/>
              </w:rPr>
              <w:t>2</w:t>
            </w:r>
          </w:p>
        </w:tc>
        <w:tc>
          <w:tcPr>
            <w:tcW w:type="dxa" w:w="576"/>
            <w:vAlign w:val="top"/>
            <w:shd w:fill="F7F3EA"/>
            <w:tcMar>
              <w:top w:w="60" w:type="dxa"/>
              <w:start w:w="80" w:type="dxa"/>
              <w:bottom w:w="60" w:type="dxa"/>
              <w:end w:w="80" w:type="dxa"/>
            </w:tcMar>
          </w:tcPr>
          <w:p>
            <w:pPr>
              <w:spacing w:after="20"/>
            </w:pPr>
            <w:r>
              <w:rPr>
                <w:sz w:val="15"/>
              </w:rPr>
              <w:t>B</w:t>
            </w:r>
          </w:p>
        </w:tc>
        <w:tc>
          <w:tcPr>
            <w:tcW w:type="dxa" w:w="4464"/>
            <w:vAlign w:val="top"/>
            <w:shd w:fill="F7F3EA"/>
            <w:tcMar>
              <w:top w:w="60" w:type="dxa"/>
              <w:start w:w="80" w:type="dxa"/>
              <w:bottom w:w="60" w:type="dxa"/>
              <w:end w:w="80" w:type="dxa"/>
            </w:tcMar>
          </w:tcPr>
          <w:p>
            <w:pPr>
              <w:spacing w:after="20"/>
            </w:pPr>
            <w:r>
              <w:rPr>
                <w:sz w:val="15"/>
              </w:rPr>
              <w:t>Expansion of federal administrative power</w:t>
            </w:r>
          </w:p>
        </w:tc>
        <w:tc>
          <w:tcPr>
            <w:tcW w:type="dxa" w:w="5112"/>
            <w:vAlign w:val="top"/>
            <w:shd w:fill="F7F3EA"/>
            <w:tcMar>
              <w:top w:w="60" w:type="dxa"/>
              <w:start w:w="80" w:type="dxa"/>
              <w:bottom w:w="60" w:type="dxa"/>
              <w:end w:w="80" w:type="dxa"/>
            </w:tcMar>
          </w:tcPr>
          <w:p>
            <w:pPr>
              <w:spacing w:after="20"/>
            </w:pPr>
            <w:r>
              <w:rPr>
                <w:sz w:val="15"/>
              </w:rPr>
              <w:t>The correct response connects the unit’s evidence to its central historical interpretation.</w:t>
            </w:r>
          </w:p>
        </w:tc>
      </w:tr>
      <w:tr>
        <w:trPr>
          <w:cantSplit w:val="true"/>
        </w:trPr>
        <w:tc>
          <w:tcPr>
            <w:tcW w:type="dxa" w:w="504"/>
            <w:vAlign w:val="top"/>
            <w:tcMar>
              <w:top w:w="60" w:type="dxa"/>
              <w:start w:w="80" w:type="dxa"/>
              <w:bottom w:w="60" w:type="dxa"/>
              <w:end w:w="80" w:type="dxa"/>
            </w:tcMar>
          </w:tcPr>
          <w:p>
            <w:pPr>
              <w:spacing w:after="20"/>
            </w:pPr>
            <w:r>
              <w:rPr>
                <w:sz w:val="15"/>
              </w:rPr>
              <w:t>3</w:t>
            </w:r>
          </w:p>
        </w:tc>
        <w:tc>
          <w:tcPr>
            <w:tcW w:type="dxa" w:w="576"/>
            <w:vAlign w:val="top"/>
            <w:tcMar>
              <w:top w:w="60" w:type="dxa"/>
              <w:start w:w="80" w:type="dxa"/>
              <w:bottom w:w="60" w:type="dxa"/>
              <w:end w:w="80" w:type="dxa"/>
            </w:tcMar>
          </w:tcPr>
          <w:p>
            <w:pPr>
              <w:spacing w:after="20"/>
            </w:pPr>
            <w:r>
              <w:rPr>
                <w:sz w:val="15"/>
              </w:rPr>
              <w:t>A</w:t>
            </w:r>
          </w:p>
        </w:tc>
        <w:tc>
          <w:tcPr>
            <w:tcW w:type="dxa" w:w="4464"/>
            <w:vAlign w:val="top"/>
            <w:tcMar>
              <w:top w:w="60" w:type="dxa"/>
              <w:start w:w="80" w:type="dxa"/>
              <w:bottom w:w="60" w:type="dxa"/>
              <w:end w:w="80" w:type="dxa"/>
            </w:tcMar>
          </w:tcPr>
          <w:p>
            <w:pPr>
              <w:spacing w:after="20"/>
            </w:pPr>
            <w:r>
              <w:rPr>
                <w:sz w:val="15"/>
              </w:rPr>
              <w:t>Southern and western federal policies</w:t>
            </w:r>
          </w:p>
        </w:tc>
        <w:tc>
          <w:tcPr>
            <w:tcW w:type="dxa" w:w="5112"/>
            <w:vAlign w:val="top"/>
            <w:tcMar>
              <w:top w:w="60" w:type="dxa"/>
              <w:start w:w="80" w:type="dxa"/>
              <w:bottom w:w="60" w:type="dxa"/>
              <w:end w:w="80" w:type="dxa"/>
            </w:tcMar>
          </w:tcPr>
          <w:p>
            <w:pPr>
              <w:spacing w:after="20"/>
            </w:pPr>
            <w:r>
              <w:rPr>
                <w:sz w:val="15"/>
              </w:rPr>
              <w:t>The correct response identifies the historically relevant institution, policy, or analytical move.</w:t>
            </w:r>
          </w:p>
        </w:tc>
      </w:tr>
      <w:tr>
        <w:trPr>
          <w:cantSplit w:val="true"/>
        </w:trPr>
        <w:tc>
          <w:tcPr>
            <w:tcW w:type="dxa" w:w="504"/>
            <w:vAlign w:val="top"/>
            <w:shd w:fill="F7F3EA"/>
            <w:tcMar>
              <w:top w:w="60" w:type="dxa"/>
              <w:start w:w="80" w:type="dxa"/>
              <w:bottom w:w="60" w:type="dxa"/>
              <w:end w:w="80" w:type="dxa"/>
            </w:tcMar>
          </w:tcPr>
          <w:p>
            <w:pPr>
              <w:spacing w:after="20"/>
            </w:pPr>
            <w:r>
              <w:rPr>
                <w:sz w:val="15"/>
              </w:rPr>
              <w:t>4</w:t>
            </w:r>
          </w:p>
        </w:tc>
        <w:tc>
          <w:tcPr>
            <w:tcW w:type="dxa" w:w="576"/>
            <w:vAlign w:val="top"/>
            <w:shd w:fill="F7F3EA"/>
            <w:tcMar>
              <w:top w:w="60" w:type="dxa"/>
              <w:start w:w="80" w:type="dxa"/>
              <w:bottom w:w="60" w:type="dxa"/>
              <w:end w:w="80" w:type="dxa"/>
            </w:tcMar>
          </w:tcPr>
          <w:p>
            <w:pPr>
              <w:spacing w:after="20"/>
            </w:pPr>
            <w:r>
              <w:rPr>
                <w:sz w:val="15"/>
              </w:rPr>
              <w:t>Manual</w:t>
            </w:r>
          </w:p>
        </w:tc>
        <w:tc>
          <w:tcPr>
            <w:tcW w:type="dxa" w:w="4464"/>
            <w:vAlign w:val="top"/>
            <w:shd w:fill="F7F3EA"/>
            <w:tcMar>
              <w:top w:w="60" w:type="dxa"/>
              <w:start w:w="80" w:type="dxa"/>
              <w:bottom w:w="60" w:type="dxa"/>
              <w:end w:w="80" w:type="dxa"/>
            </w:tcMar>
          </w:tcPr>
          <w:p>
            <w:pPr>
              <w:spacing w:after="20"/>
            </w:pPr>
            <w:r>
              <w:rPr>
                <w:sz w:val="15"/>
              </w:rPr>
              <w:t>Student-generated evidence-and-judgment response</w:t>
            </w:r>
          </w:p>
        </w:tc>
        <w:tc>
          <w:tcPr>
            <w:tcW w:type="dxa" w:w="5112"/>
            <w:vAlign w:val="top"/>
            <w:shd w:fill="F7F3EA"/>
            <w:tcMar>
              <w:top w:w="60" w:type="dxa"/>
              <w:start w:w="80" w:type="dxa"/>
              <w:bottom w:w="60" w:type="dxa"/>
              <w:end w:w="80" w:type="dxa"/>
            </w:tcMar>
          </w:tcPr>
          <w:p>
            <w:pPr>
              <w:spacing w:after="20"/>
            </w:pPr>
            <w:r>
              <w:rPr>
                <w:sz w:val="15"/>
              </w:rPr>
              <w:t>Look for a specific course source or claim, accurate context, explicit reasoning, and a meaningful limit or uncertainty.</w:t>
            </w:r>
          </w:p>
        </w:tc>
      </w:tr>
      <w:tr>
        <w:trPr>
          <w:cantSplit w:val="true"/>
        </w:trPr>
        <w:tc>
          <w:tcPr>
            <w:tcW w:type="dxa" w:w="504"/>
            <w:vAlign w:val="top"/>
            <w:tcMar>
              <w:top w:w="60" w:type="dxa"/>
              <w:start w:w="80" w:type="dxa"/>
              <w:bottom w:w="60" w:type="dxa"/>
              <w:end w:w="80" w:type="dxa"/>
            </w:tcMar>
          </w:tcPr>
          <w:p>
            <w:pPr>
              <w:spacing w:after="20"/>
            </w:pPr>
            <w:r>
              <w:rPr>
                <w:sz w:val="15"/>
              </w:rPr>
              <w:t>5</w:t>
            </w:r>
          </w:p>
        </w:tc>
        <w:tc>
          <w:tcPr>
            <w:tcW w:type="dxa" w:w="576"/>
            <w:vAlign w:val="top"/>
            <w:tcMar>
              <w:top w:w="60" w:type="dxa"/>
              <w:start w:w="80" w:type="dxa"/>
              <w:bottom w:w="60" w:type="dxa"/>
              <w:end w:w="80" w:type="dxa"/>
            </w:tcMar>
          </w:tcPr>
          <w:p>
            <w:pPr>
              <w:spacing w:after="20"/>
            </w:pPr>
            <w:r>
              <w:rPr>
                <w:sz w:val="15"/>
              </w:rPr>
              <w:t>Manual</w:t>
            </w:r>
          </w:p>
        </w:tc>
        <w:tc>
          <w:tcPr>
            <w:tcW w:type="dxa" w:w="4464"/>
            <w:vAlign w:val="top"/>
            <w:tcMar>
              <w:top w:w="60" w:type="dxa"/>
              <w:start w:w="80" w:type="dxa"/>
              <w:bottom w:w="60" w:type="dxa"/>
              <w:end w:w="80" w:type="dxa"/>
            </w:tcMar>
          </w:tcPr>
          <w:p>
            <w:pPr>
              <w:spacing w:after="20"/>
            </w:pPr>
            <w:r>
              <w:rPr>
                <w:sz w:val="15"/>
              </w:rPr>
              <w:t>Student-generated evidence-and-judgment response</w:t>
            </w:r>
          </w:p>
        </w:tc>
        <w:tc>
          <w:tcPr>
            <w:tcW w:type="dxa" w:w="5112"/>
            <w:vAlign w:val="top"/>
            <w:tcMar>
              <w:top w:w="60" w:type="dxa"/>
              <w:start w:w="80" w:type="dxa"/>
              <w:bottom w:w="60" w:type="dxa"/>
              <w:end w:w="80" w:type="dxa"/>
            </w:tcMar>
          </w:tcPr>
          <w:p>
            <w:pPr>
              <w:spacing w:after="20"/>
            </w:pPr>
            <w:r>
              <w:rPr>
                <w:sz w:val="15"/>
              </w:rPr>
              <w:t>Look for a specific course source or claim, accurate context, explicit reasoning, and a meaningful limit or uncertainty.</w:t>
            </w:r>
          </w:p>
        </w:tc>
      </w:tr>
    </w:tbl>
    <w:p>
      <w:pPr>
        <w:spacing w:after="20"/>
      </w:pPr>
    </w:p>
    <w:p>
      <w:pPr>
        <w:pStyle w:val="Heading2"/>
      </w:pPr>
      <w:r>
        <w:t>Reading Check 6: Railroads and Corporate Empire</w:t>
      </w:r>
    </w:p>
    <w:tbl>
      <w:tblPr>
        <w:tblStyle w:val="TableGrid"/>
        <w:tblW w:type="auto" w:w="0"/>
        <w:jc w:val="center"/>
        <w:tblLook w:firstColumn="1" w:firstRow="1" w:lastColumn="0" w:lastRow="0" w:noHBand="0" w:noVBand="1" w:val="04A0"/>
      </w:tblPr>
      <w:tblGrid>
        <w:gridCol w:w="2541"/>
        <w:gridCol w:w="2541"/>
        <w:gridCol w:w="2541"/>
        <w:gridCol w:w="2541"/>
      </w:tblGrid>
      <w:tr>
        <w:trPr>
          <w:tblHeader w:val="true"/>
          <w:cantSplit w:val="true"/>
        </w:trPr>
        <w:tc>
          <w:tcPr>
            <w:tcW w:type="dxa" w:w="504"/>
            <w:shd w:fill="24364B"/>
            <w:vAlign w:val="center"/>
            <w:tcMar>
              <w:top w:w="60" w:type="dxa"/>
              <w:start w:w="80" w:type="dxa"/>
              <w:bottom w:w="60" w:type="dxa"/>
              <w:end w:w="80" w:type="dxa"/>
            </w:tcMar>
          </w:tcPr>
          <w:p>
            <w:r>
              <w:rPr>
                <w:b/>
                <w:color w:val="FFFFFF"/>
                <w:sz w:val="15"/>
              </w:rPr>
              <w:t>Q</w:t>
            </w:r>
          </w:p>
        </w:tc>
        <w:tc>
          <w:tcPr>
            <w:tcW w:type="dxa" w:w="576"/>
            <w:shd w:fill="24364B"/>
            <w:vAlign w:val="center"/>
            <w:tcMar>
              <w:top w:w="60" w:type="dxa"/>
              <w:start w:w="80" w:type="dxa"/>
              <w:bottom w:w="60" w:type="dxa"/>
              <w:end w:w="80" w:type="dxa"/>
            </w:tcMar>
          </w:tcPr>
          <w:p>
            <w:r>
              <w:rPr>
                <w:b/>
                <w:color w:val="FFFFFF"/>
                <w:sz w:val="15"/>
              </w:rPr>
              <w:t>Key</w:t>
            </w:r>
          </w:p>
        </w:tc>
        <w:tc>
          <w:tcPr>
            <w:tcW w:type="dxa" w:w="4464"/>
            <w:shd w:fill="24364B"/>
            <w:vAlign w:val="center"/>
            <w:tcMar>
              <w:top w:w="60" w:type="dxa"/>
              <w:start w:w="80" w:type="dxa"/>
              <w:bottom w:w="60" w:type="dxa"/>
              <w:end w:w="80" w:type="dxa"/>
            </w:tcMar>
          </w:tcPr>
          <w:p>
            <w:r>
              <w:rPr>
                <w:b/>
                <w:color w:val="FFFFFF"/>
                <w:sz w:val="15"/>
              </w:rPr>
              <w:t>Correct response</w:t>
            </w:r>
          </w:p>
        </w:tc>
        <w:tc>
          <w:tcPr>
            <w:tcW w:type="dxa" w:w="5112"/>
            <w:shd w:fill="24364B"/>
            <w:vAlign w:val="center"/>
            <w:tcMar>
              <w:top w:w="60" w:type="dxa"/>
              <w:start w:w="80" w:type="dxa"/>
              <w:bottom w:w="60" w:type="dxa"/>
              <w:end w:w="80" w:type="dxa"/>
            </w:tcMar>
          </w:tcPr>
          <w:p>
            <w:r>
              <w:rPr>
                <w:b/>
                <w:color w:val="FFFFFF"/>
                <w:sz w:val="15"/>
              </w:rPr>
              <w:t>Rationale</w:t>
            </w:r>
          </w:p>
        </w:tc>
      </w:tr>
      <w:tr>
        <w:trPr>
          <w:cantSplit w:val="true"/>
        </w:trPr>
        <w:tc>
          <w:tcPr>
            <w:tcW w:type="dxa" w:w="504"/>
            <w:vAlign w:val="top"/>
            <w:tcMar>
              <w:top w:w="60" w:type="dxa"/>
              <w:start w:w="80" w:type="dxa"/>
              <w:bottom w:w="60" w:type="dxa"/>
              <w:end w:w="80" w:type="dxa"/>
            </w:tcMar>
          </w:tcPr>
          <w:p>
            <w:pPr>
              <w:spacing w:after="20"/>
            </w:pPr>
            <w:r>
              <w:rPr>
                <w:sz w:val="15"/>
              </w:rPr>
              <w:t>1</w:t>
            </w:r>
          </w:p>
        </w:tc>
        <w:tc>
          <w:tcPr>
            <w:tcW w:type="dxa" w:w="576"/>
            <w:vAlign w:val="top"/>
            <w:tcMar>
              <w:top w:w="60" w:type="dxa"/>
              <w:start w:w="80" w:type="dxa"/>
              <w:bottom w:w="60" w:type="dxa"/>
              <w:end w:w="80" w:type="dxa"/>
            </w:tcMar>
          </w:tcPr>
          <w:p>
            <w:pPr>
              <w:spacing w:after="20"/>
            </w:pPr>
            <w:r>
              <w:rPr>
                <w:sz w:val="15"/>
              </w:rPr>
              <w:t>A</w:t>
            </w:r>
          </w:p>
        </w:tc>
        <w:tc>
          <w:tcPr>
            <w:tcW w:type="dxa" w:w="4464"/>
            <w:vAlign w:val="top"/>
            <w:tcMar>
              <w:top w:w="60" w:type="dxa"/>
              <w:start w:w="80" w:type="dxa"/>
              <w:bottom w:w="60" w:type="dxa"/>
              <w:end w:w="80" w:type="dxa"/>
            </w:tcMar>
          </w:tcPr>
          <w:p>
            <w:pPr>
              <w:spacing w:after="20"/>
            </w:pPr>
            <w:r>
              <w:rPr>
                <w:sz w:val="15"/>
              </w:rPr>
              <w:t>Federal grants and financial subsidies</w:t>
            </w:r>
          </w:p>
        </w:tc>
        <w:tc>
          <w:tcPr>
            <w:tcW w:type="dxa" w:w="5112"/>
            <w:vAlign w:val="top"/>
            <w:tcMar>
              <w:top w:w="60" w:type="dxa"/>
              <w:start w:w="80" w:type="dxa"/>
              <w:bottom w:w="60" w:type="dxa"/>
              <w:end w:w="80" w:type="dxa"/>
            </w:tcMar>
          </w:tcPr>
          <w:p>
            <w:pPr>
              <w:spacing w:after="20"/>
            </w:pPr>
            <w:r>
              <w:rPr>
                <w:sz w:val="15"/>
              </w:rPr>
              <w:t>The correct response identifies the historically relevant institution, policy, or analytical move.</w:t>
            </w:r>
          </w:p>
        </w:tc>
      </w:tr>
      <w:tr>
        <w:trPr>
          <w:cantSplit w:val="true"/>
        </w:trPr>
        <w:tc>
          <w:tcPr>
            <w:tcW w:type="dxa" w:w="504"/>
            <w:vAlign w:val="top"/>
            <w:shd w:fill="F7F3EA"/>
            <w:tcMar>
              <w:top w:w="60" w:type="dxa"/>
              <w:start w:w="80" w:type="dxa"/>
              <w:bottom w:w="60" w:type="dxa"/>
              <w:end w:w="80" w:type="dxa"/>
            </w:tcMar>
          </w:tcPr>
          <w:p>
            <w:pPr>
              <w:spacing w:after="20"/>
            </w:pPr>
            <w:r>
              <w:rPr>
                <w:sz w:val="15"/>
              </w:rPr>
              <w:t>2</w:t>
            </w:r>
          </w:p>
        </w:tc>
        <w:tc>
          <w:tcPr>
            <w:tcW w:type="dxa" w:w="576"/>
            <w:vAlign w:val="top"/>
            <w:shd w:fill="F7F3EA"/>
            <w:tcMar>
              <w:top w:w="60" w:type="dxa"/>
              <w:start w:w="80" w:type="dxa"/>
              <w:bottom w:w="60" w:type="dxa"/>
              <w:end w:w="80" w:type="dxa"/>
            </w:tcMar>
          </w:tcPr>
          <w:p>
            <w:pPr>
              <w:spacing w:after="20"/>
            </w:pPr>
            <w:r>
              <w:rPr>
                <w:sz w:val="15"/>
              </w:rPr>
              <w:t>B</w:t>
            </w:r>
          </w:p>
        </w:tc>
        <w:tc>
          <w:tcPr>
            <w:tcW w:type="dxa" w:w="4464"/>
            <w:vAlign w:val="top"/>
            <w:shd w:fill="F7F3EA"/>
            <w:tcMar>
              <w:top w:w="60" w:type="dxa"/>
              <w:start w:w="80" w:type="dxa"/>
              <w:bottom w:w="60" w:type="dxa"/>
              <w:end w:w="80" w:type="dxa"/>
            </w:tcMar>
          </w:tcPr>
          <w:p>
            <w:pPr>
              <w:spacing w:after="20"/>
            </w:pPr>
            <w:r>
              <w:rPr>
                <w:sz w:val="15"/>
              </w:rPr>
              <w:t>It selects routes to persuade audiences</w:t>
            </w:r>
          </w:p>
        </w:tc>
        <w:tc>
          <w:tcPr>
            <w:tcW w:type="dxa" w:w="5112"/>
            <w:vAlign w:val="top"/>
            <w:shd w:fill="F7F3EA"/>
            <w:tcMar>
              <w:top w:w="60" w:type="dxa"/>
              <w:start w:w="80" w:type="dxa"/>
              <w:bottom w:w="60" w:type="dxa"/>
              <w:end w:w="80" w:type="dxa"/>
            </w:tcMar>
          </w:tcPr>
          <w:p>
            <w:pPr>
              <w:spacing w:after="20"/>
            </w:pPr>
            <w:r>
              <w:rPr>
                <w:sz w:val="15"/>
              </w:rPr>
              <w:t>The correct response connects the unit’s evidence to its central historical interpretation.</w:t>
            </w:r>
          </w:p>
        </w:tc>
      </w:tr>
      <w:tr>
        <w:trPr>
          <w:cantSplit w:val="true"/>
        </w:trPr>
        <w:tc>
          <w:tcPr>
            <w:tcW w:type="dxa" w:w="504"/>
            <w:vAlign w:val="top"/>
            <w:tcMar>
              <w:top w:w="60" w:type="dxa"/>
              <w:start w:w="80" w:type="dxa"/>
              <w:bottom w:w="60" w:type="dxa"/>
              <w:end w:w="80" w:type="dxa"/>
            </w:tcMar>
          </w:tcPr>
          <w:p>
            <w:pPr>
              <w:spacing w:after="20"/>
            </w:pPr>
            <w:r>
              <w:rPr>
                <w:sz w:val="15"/>
              </w:rPr>
              <w:t>3</w:t>
            </w:r>
          </w:p>
        </w:tc>
        <w:tc>
          <w:tcPr>
            <w:tcW w:type="dxa" w:w="576"/>
            <w:vAlign w:val="top"/>
            <w:tcMar>
              <w:top w:w="60" w:type="dxa"/>
              <w:start w:w="80" w:type="dxa"/>
              <w:bottom w:w="60" w:type="dxa"/>
              <w:end w:w="80" w:type="dxa"/>
            </w:tcMar>
          </w:tcPr>
          <w:p>
            <w:pPr>
              <w:spacing w:after="20"/>
            </w:pPr>
            <w:r>
              <w:rPr>
                <w:sz w:val="15"/>
              </w:rPr>
              <w:t>D</w:t>
            </w:r>
          </w:p>
        </w:tc>
        <w:tc>
          <w:tcPr>
            <w:tcW w:type="dxa" w:w="4464"/>
            <w:vAlign w:val="top"/>
            <w:tcMar>
              <w:top w:w="60" w:type="dxa"/>
              <w:start w:w="80" w:type="dxa"/>
              <w:bottom w:w="60" w:type="dxa"/>
              <w:end w:w="80" w:type="dxa"/>
            </w:tcMar>
          </w:tcPr>
          <w:p>
            <w:pPr>
              <w:spacing w:after="20"/>
            </w:pPr>
            <w:r>
              <w:rPr>
                <w:sz w:val="15"/>
              </w:rPr>
              <w:t>State-backed firms reorganized land and labor</w:t>
            </w:r>
          </w:p>
        </w:tc>
        <w:tc>
          <w:tcPr>
            <w:tcW w:type="dxa" w:w="5112"/>
            <w:vAlign w:val="top"/>
            <w:tcMar>
              <w:top w:w="60" w:type="dxa"/>
              <w:start w:w="80" w:type="dxa"/>
              <w:bottom w:w="60" w:type="dxa"/>
              <w:end w:w="80" w:type="dxa"/>
            </w:tcMar>
          </w:tcPr>
          <w:p>
            <w:pPr>
              <w:spacing w:after="20"/>
            </w:pPr>
            <w:r>
              <w:rPr>
                <w:sz w:val="15"/>
              </w:rPr>
              <w:t>The correct response best respects source limits and historical complexity.</w:t>
            </w:r>
          </w:p>
        </w:tc>
      </w:tr>
      <w:tr>
        <w:trPr>
          <w:cantSplit w:val="true"/>
        </w:trPr>
        <w:tc>
          <w:tcPr>
            <w:tcW w:type="dxa" w:w="504"/>
            <w:vAlign w:val="top"/>
            <w:shd w:fill="F7F3EA"/>
            <w:tcMar>
              <w:top w:w="60" w:type="dxa"/>
              <w:start w:w="80" w:type="dxa"/>
              <w:bottom w:w="60" w:type="dxa"/>
              <w:end w:w="80" w:type="dxa"/>
            </w:tcMar>
          </w:tcPr>
          <w:p>
            <w:pPr>
              <w:spacing w:after="20"/>
            </w:pPr>
            <w:r>
              <w:rPr>
                <w:sz w:val="15"/>
              </w:rPr>
              <w:t>4</w:t>
            </w:r>
          </w:p>
        </w:tc>
        <w:tc>
          <w:tcPr>
            <w:tcW w:type="dxa" w:w="576"/>
            <w:vAlign w:val="top"/>
            <w:shd w:fill="F7F3EA"/>
            <w:tcMar>
              <w:top w:w="60" w:type="dxa"/>
              <w:start w:w="80" w:type="dxa"/>
              <w:bottom w:w="60" w:type="dxa"/>
              <w:end w:w="80" w:type="dxa"/>
            </w:tcMar>
          </w:tcPr>
          <w:p>
            <w:pPr>
              <w:spacing w:after="20"/>
            </w:pPr>
            <w:r>
              <w:rPr>
                <w:sz w:val="15"/>
              </w:rPr>
              <w:t>Manual</w:t>
            </w:r>
          </w:p>
        </w:tc>
        <w:tc>
          <w:tcPr>
            <w:tcW w:type="dxa" w:w="4464"/>
            <w:vAlign w:val="top"/>
            <w:shd w:fill="F7F3EA"/>
            <w:tcMar>
              <w:top w:w="60" w:type="dxa"/>
              <w:start w:w="80" w:type="dxa"/>
              <w:bottom w:w="60" w:type="dxa"/>
              <w:end w:w="80" w:type="dxa"/>
            </w:tcMar>
          </w:tcPr>
          <w:p>
            <w:pPr>
              <w:spacing w:after="20"/>
            </w:pPr>
            <w:r>
              <w:rPr>
                <w:sz w:val="15"/>
              </w:rPr>
              <w:t>Student-generated evidence-and-judgment response</w:t>
            </w:r>
          </w:p>
        </w:tc>
        <w:tc>
          <w:tcPr>
            <w:tcW w:type="dxa" w:w="5112"/>
            <w:vAlign w:val="top"/>
            <w:shd w:fill="F7F3EA"/>
            <w:tcMar>
              <w:top w:w="60" w:type="dxa"/>
              <w:start w:w="80" w:type="dxa"/>
              <w:bottom w:w="60" w:type="dxa"/>
              <w:end w:w="80" w:type="dxa"/>
            </w:tcMar>
          </w:tcPr>
          <w:p>
            <w:pPr>
              <w:spacing w:after="20"/>
            </w:pPr>
            <w:r>
              <w:rPr>
                <w:sz w:val="15"/>
              </w:rPr>
              <w:t>Look for a specific course source or claim, accurate context, explicit reasoning, and a meaningful limit or uncertainty.</w:t>
            </w:r>
          </w:p>
        </w:tc>
      </w:tr>
      <w:tr>
        <w:trPr>
          <w:cantSplit w:val="true"/>
        </w:trPr>
        <w:tc>
          <w:tcPr>
            <w:tcW w:type="dxa" w:w="504"/>
            <w:vAlign w:val="top"/>
            <w:tcMar>
              <w:top w:w="60" w:type="dxa"/>
              <w:start w:w="80" w:type="dxa"/>
              <w:bottom w:w="60" w:type="dxa"/>
              <w:end w:w="80" w:type="dxa"/>
            </w:tcMar>
          </w:tcPr>
          <w:p>
            <w:pPr>
              <w:spacing w:after="20"/>
            </w:pPr>
            <w:r>
              <w:rPr>
                <w:sz w:val="15"/>
              </w:rPr>
              <w:t>5</w:t>
            </w:r>
          </w:p>
        </w:tc>
        <w:tc>
          <w:tcPr>
            <w:tcW w:type="dxa" w:w="576"/>
            <w:vAlign w:val="top"/>
            <w:tcMar>
              <w:top w:w="60" w:type="dxa"/>
              <w:start w:w="80" w:type="dxa"/>
              <w:bottom w:w="60" w:type="dxa"/>
              <w:end w:w="80" w:type="dxa"/>
            </w:tcMar>
          </w:tcPr>
          <w:p>
            <w:pPr>
              <w:spacing w:after="20"/>
            </w:pPr>
            <w:r>
              <w:rPr>
                <w:sz w:val="15"/>
              </w:rPr>
              <w:t>Manual</w:t>
            </w:r>
          </w:p>
        </w:tc>
        <w:tc>
          <w:tcPr>
            <w:tcW w:type="dxa" w:w="4464"/>
            <w:vAlign w:val="top"/>
            <w:tcMar>
              <w:top w:w="60" w:type="dxa"/>
              <w:start w:w="80" w:type="dxa"/>
              <w:bottom w:w="60" w:type="dxa"/>
              <w:end w:w="80" w:type="dxa"/>
            </w:tcMar>
          </w:tcPr>
          <w:p>
            <w:pPr>
              <w:spacing w:after="20"/>
            </w:pPr>
            <w:r>
              <w:rPr>
                <w:sz w:val="15"/>
              </w:rPr>
              <w:t>Student-generated evidence-and-judgment response</w:t>
            </w:r>
          </w:p>
        </w:tc>
        <w:tc>
          <w:tcPr>
            <w:tcW w:type="dxa" w:w="5112"/>
            <w:vAlign w:val="top"/>
            <w:tcMar>
              <w:top w:w="60" w:type="dxa"/>
              <w:start w:w="80" w:type="dxa"/>
              <w:bottom w:w="60" w:type="dxa"/>
              <w:end w:w="80" w:type="dxa"/>
            </w:tcMar>
          </w:tcPr>
          <w:p>
            <w:pPr>
              <w:spacing w:after="20"/>
            </w:pPr>
            <w:r>
              <w:rPr>
                <w:sz w:val="15"/>
              </w:rPr>
              <w:t>Look for a specific course source or claim, accurate context, explicit reasoning, and a meaningful limit or uncertainty.</w:t>
            </w:r>
          </w:p>
        </w:tc>
      </w:tr>
    </w:tbl>
    <w:p>
      <w:pPr>
        <w:spacing w:after="20"/>
      </w:pPr>
    </w:p>
    <w:p>
      <w:pPr>
        <w:pStyle w:val="Heading2"/>
      </w:pPr>
      <w:r>
        <w:t>Reading Check 7: Assimilation and Persistence</w:t>
      </w:r>
    </w:p>
    <w:tbl>
      <w:tblPr>
        <w:tblStyle w:val="TableGrid"/>
        <w:tblW w:type="auto" w:w="0"/>
        <w:jc w:val="center"/>
        <w:tblLook w:firstColumn="1" w:firstRow="1" w:lastColumn="0" w:lastRow="0" w:noHBand="0" w:noVBand="1" w:val="04A0"/>
      </w:tblPr>
      <w:tblGrid>
        <w:gridCol w:w="2541"/>
        <w:gridCol w:w="2541"/>
        <w:gridCol w:w="2541"/>
        <w:gridCol w:w="2541"/>
      </w:tblGrid>
      <w:tr>
        <w:trPr>
          <w:tblHeader w:val="true"/>
          <w:cantSplit w:val="true"/>
        </w:trPr>
        <w:tc>
          <w:tcPr>
            <w:tcW w:type="dxa" w:w="504"/>
            <w:shd w:fill="24364B"/>
            <w:vAlign w:val="center"/>
            <w:tcMar>
              <w:top w:w="60" w:type="dxa"/>
              <w:start w:w="80" w:type="dxa"/>
              <w:bottom w:w="60" w:type="dxa"/>
              <w:end w:w="80" w:type="dxa"/>
            </w:tcMar>
          </w:tcPr>
          <w:p>
            <w:r>
              <w:rPr>
                <w:b/>
                <w:color w:val="FFFFFF"/>
                <w:sz w:val="15"/>
              </w:rPr>
              <w:t>Q</w:t>
            </w:r>
          </w:p>
        </w:tc>
        <w:tc>
          <w:tcPr>
            <w:tcW w:type="dxa" w:w="576"/>
            <w:shd w:fill="24364B"/>
            <w:vAlign w:val="center"/>
            <w:tcMar>
              <w:top w:w="60" w:type="dxa"/>
              <w:start w:w="80" w:type="dxa"/>
              <w:bottom w:w="60" w:type="dxa"/>
              <w:end w:w="80" w:type="dxa"/>
            </w:tcMar>
          </w:tcPr>
          <w:p>
            <w:r>
              <w:rPr>
                <w:b/>
                <w:color w:val="FFFFFF"/>
                <w:sz w:val="15"/>
              </w:rPr>
              <w:t>Key</w:t>
            </w:r>
          </w:p>
        </w:tc>
        <w:tc>
          <w:tcPr>
            <w:tcW w:type="dxa" w:w="4464"/>
            <w:shd w:fill="24364B"/>
            <w:vAlign w:val="center"/>
            <w:tcMar>
              <w:top w:w="60" w:type="dxa"/>
              <w:start w:w="80" w:type="dxa"/>
              <w:bottom w:w="60" w:type="dxa"/>
              <w:end w:w="80" w:type="dxa"/>
            </w:tcMar>
          </w:tcPr>
          <w:p>
            <w:r>
              <w:rPr>
                <w:b/>
                <w:color w:val="FFFFFF"/>
                <w:sz w:val="15"/>
              </w:rPr>
              <w:t>Correct response</w:t>
            </w:r>
          </w:p>
        </w:tc>
        <w:tc>
          <w:tcPr>
            <w:tcW w:type="dxa" w:w="5112"/>
            <w:shd w:fill="24364B"/>
            <w:vAlign w:val="center"/>
            <w:tcMar>
              <w:top w:w="60" w:type="dxa"/>
              <w:start w:w="80" w:type="dxa"/>
              <w:bottom w:w="60" w:type="dxa"/>
              <w:end w:w="80" w:type="dxa"/>
            </w:tcMar>
          </w:tcPr>
          <w:p>
            <w:r>
              <w:rPr>
                <w:b/>
                <w:color w:val="FFFFFF"/>
                <w:sz w:val="15"/>
              </w:rPr>
              <w:t>Rationale</w:t>
            </w:r>
          </w:p>
        </w:tc>
      </w:tr>
      <w:tr>
        <w:trPr>
          <w:cantSplit w:val="true"/>
        </w:trPr>
        <w:tc>
          <w:tcPr>
            <w:tcW w:type="dxa" w:w="504"/>
            <w:vAlign w:val="top"/>
            <w:tcMar>
              <w:top w:w="60" w:type="dxa"/>
              <w:start w:w="80" w:type="dxa"/>
              <w:bottom w:w="60" w:type="dxa"/>
              <w:end w:w="80" w:type="dxa"/>
            </w:tcMar>
          </w:tcPr>
          <w:p>
            <w:pPr>
              <w:spacing w:after="20"/>
            </w:pPr>
            <w:r>
              <w:rPr>
                <w:sz w:val="15"/>
              </w:rPr>
              <w:t>1</w:t>
            </w:r>
          </w:p>
        </w:tc>
        <w:tc>
          <w:tcPr>
            <w:tcW w:type="dxa" w:w="576"/>
            <w:vAlign w:val="top"/>
            <w:tcMar>
              <w:top w:w="60" w:type="dxa"/>
              <w:start w:w="80" w:type="dxa"/>
              <w:bottom w:w="60" w:type="dxa"/>
              <w:end w:w="80" w:type="dxa"/>
            </w:tcMar>
          </w:tcPr>
          <w:p>
            <w:pPr>
              <w:spacing w:after="20"/>
            </w:pPr>
            <w:r>
              <w:rPr>
                <w:sz w:val="15"/>
              </w:rPr>
              <w:t>C</w:t>
            </w:r>
          </w:p>
        </w:tc>
        <w:tc>
          <w:tcPr>
            <w:tcW w:type="dxa" w:w="4464"/>
            <w:vAlign w:val="top"/>
            <w:tcMar>
              <w:top w:w="60" w:type="dxa"/>
              <w:start w:w="80" w:type="dxa"/>
              <w:bottom w:w="60" w:type="dxa"/>
              <w:end w:w="80" w:type="dxa"/>
            </w:tcMar>
          </w:tcPr>
          <w:p>
            <w:pPr>
              <w:spacing w:after="20"/>
            </w:pPr>
            <w:r>
              <w:rPr>
                <w:sz w:val="15"/>
              </w:rPr>
              <w:t>It divided land and enabled outside purchase</w:t>
            </w:r>
          </w:p>
        </w:tc>
        <w:tc>
          <w:tcPr>
            <w:tcW w:type="dxa" w:w="5112"/>
            <w:vAlign w:val="top"/>
            <w:tcMar>
              <w:top w:w="60" w:type="dxa"/>
              <w:start w:w="80" w:type="dxa"/>
              <w:bottom w:w="60" w:type="dxa"/>
              <w:end w:w="80" w:type="dxa"/>
            </w:tcMar>
          </w:tcPr>
          <w:p>
            <w:pPr>
              <w:spacing w:after="20"/>
            </w:pPr>
            <w:r>
              <w:rPr>
                <w:sz w:val="15"/>
              </w:rPr>
              <w:t>The correct response identifies corroboration, context, or overlapping power as the key reasoning step.</w:t>
            </w:r>
          </w:p>
        </w:tc>
      </w:tr>
      <w:tr>
        <w:trPr>
          <w:cantSplit w:val="true"/>
        </w:trPr>
        <w:tc>
          <w:tcPr>
            <w:tcW w:type="dxa" w:w="504"/>
            <w:vAlign w:val="top"/>
            <w:shd w:fill="F7F3EA"/>
            <w:tcMar>
              <w:top w:w="60" w:type="dxa"/>
              <w:start w:w="80" w:type="dxa"/>
              <w:bottom w:w="60" w:type="dxa"/>
              <w:end w:w="80" w:type="dxa"/>
            </w:tcMar>
          </w:tcPr>
          <w:p>
            <w:pPr>
              <w:spacing w:after="20"/>
            </w:pPr>
            <w:r>
              <w:rPr>
                <w:sz w:val="15"/>
              </w:rPr>
              <w:t>2</w:t>
            </w:r>
          </w:p>
        </w:tc>
        <w:tc>
          <w:tcPr>
            <w:tcW w:type="dxa" w:w="576"/>
            <w:vAlign w:val="top"/>
            <w:shd w:fill="F7F3EA"/>
            <w:tcMar>
              <w:top w:w="60" w:type="dxa"/>
              <w:start w:w="80" w:type="dxa"/>
              <w:bottom w:w="60" w:type="dxa"/>
              <w:end w:w="80" w:type="dxa"/>
            </w:tcMar>
          </w:tcPr>
          <w:p>
            <w:pPr>
              <w:spacing w:after="20"/>
            </w:pPr>
            <w:r>
              <w:rPr>
                <w:sz w:val="15"/>
              </w:rPr>
              <w:t>B</w:t>
            </w:r>
          </w:p>
        </w:tc>
        <w:tc>
          <w:tcPr>
            <w:tcW w:type="dxa" w:w="4464"/>
            <w:vAlign w:val="top"/>
            <w:shd w:fill="F7F3EA"/>
            <w:tcMar>
              <w:top w:w="60" w:type="dxa"/>
              <w:start w:w="80" w:type="dxa"/>
              <w:bottom w:w="60" w:type="dxa"/>
              <w:end w:w="80" w:type="dxa"/>
            </w:tcMar>
          </w:tcPr>
          <w:p>
            <w:pPr>
              <w:spacing w:after="20"/>
            </w:pPr>
            <w:r>
              <w:rPr>
                <w:sz w:val="15"/>
              </w:rPr>
              <w:t>They were staged for institutional purposes</w:t>
            </w:r>
          </w:p>
        </w:tc>
        <w:tc>
          <w:tcPr>
            <w:tcW w:type="dxa" w:w="5112"/>
            <w:vAlign w:val="top"/>
            <w:shd w:fill="F7F3EA"/>
            <w:tcMar>
              <w:top w:w="60" w:type="dxa"/>
              <w:start w:w="80" w:type="dxa"/>
              <w:bottom w:w="60" w:type="dxa"/>
              <w:end w:w="80" w:type="dxa"/>
            </w:tcMar>
          </w:tcPr>
          <w:p>
            <w:pPr>
              <w:spacing w:after="20"/>
            </w:pPr>
            <w:r>
              <w:rPr>
                <w:sz w:val="15"/>
              </w:rPr>
              <w:t>The correct response connects the unit’s evidence to its central historical interpretation.</w:t>
            </w:r>
          </w:p>
        </w:tc>
      </w:tr>
      <w:tr>
        <w:trPr>
          <w:cantSplit w:val="true"/>
        </w:trPr>
        <w:tc>
          <w:tcPr>
            <w:tcW w:type="dxa" w:w="504"/>
            <w:vAlign w:val="top"/>
            <w:tcMar>
              <w:top w:w="60" w:type="dxa"/>
              <w:start w:w="80" w:type="dxa"/>
              <w:bottom w:w="60" w:type="dxa"/>
              <w:end w:w="80" w:type="dxa"/>
            </w:tcMar>
          </w:tcPr>
          <w:p>
            <w:pPr>
              <w:spacing w:after="20"/>
            </w:pPr>
            <w:r>
              <w:rPr>
                <w:sz w:val="15"/>
              </w:rPr>
              <w:t>3</w:t>
            </w:r>
          </w:p>
        </w:tc>
        <w:tc>
          <w:tcPr>
            <w:tcW w:type="dxa" w:w="576"/>
            <w:vAlign w:val="top"/>
            <w:tcMar>
              <w:top w:w="60" w:type="dxa"/>
              <w:start w:w="80" w:type="dxa"/>
              <w:bottom w:w="60" w:type="dxa"/>
              <w:end w:w="80" w:type="dxa"/>
            </w:tcMar>
          </w:tcPr>
          <w:p>
            <w:pPr>
              <w:spacing w:after="20"/>
            </w:pPr>
            <w:r>
              <w:rPr>
                <w:sz w:val="15"/>
              </w:rPr>
              <w:t>A</w:t>
            </w:r>
          </w:p>
        </w:tc>
        <w:tc>
          <w:tcPr>
            <w:tcW w:type="dxa" w:w="4464"/>
            <w:vAlign w:val="top"/>
            <w:tcMar>
              <w:top w:w="60" w:type="dxa"/>
              <w:start w:w="80" w:type="dxa"/>
              <w:bottom w:w="60" w:type="dxa"/>
              <w:end w:w="80" w:type="dxa"/>
            </w:tcMar>
          </w:tcPr>
          <w:p>
            <w:pPr>
              <w:spacing w:after="20"/>
            </w:pPr>
            <w:r>
              <w:rPr>
                <w:sz w:val="15"/>
              </w:rPr>
              <w:t>Trace community continuity across records</w:t>
            </w:r>
          </w:p>
        </w:tc>
        <w:tc>
          <w:tcPr>
            <w:tcW w:type="dxa" w:w="5112"/>
            <w:vAlign w:val="top"/>
            <w:tcMar>
              <w:top w:w="60" w:type="dxa"/>
              <w:start w:w="80" w:type="dxa"/>
              <w:bottom w:w="60" w:type="dxa"/>
              <w:end w:w="80" w:type="dxa"/>
            </w:tcMar>
          </w:tcPr>
          <w:p>
            <w:pPr>
              <w:spacing w:after="20"/>
            </w:pPr>
            <w:r>
              <w:rPr>
                <w:sz w:val="15"/>
              </w:rPr>
              <w:t>The correct response identifies the historically relevant institution, policy, or analytical move.</w:t>
            </w:r>
          </w:p>
        </w:tc>
      </w:tr>
      <w:tr>
        <w:trPr>
          <w:cantSplit w:val="true"/>
        </w:trPr>
        <w:tc>
          <w:tcPr>
            <w:tcW w:type="dxa" w:w="504"/>
            <w:vAlign w:val="top"/>
            <w:shd w:fill="F7F3EA"/>
            <w:tcMar>
              <w:top w:w="60" w:type="dxa"/>
              <w:start w:w="80" w:type="dxa"/>
              <w:bottom w:w="60" w:type="dxa"/>
              <w:end w:w="80" w:type="dxa"/>
            </w:tcMar>
          </w:tcPr>
          <w:p>
            <w:pPr>
              <w:spacing w:after="20"/>
            </w:pPr>
            <w:r>
              <w:rPr>
                <w:sz w:val="15"/>
              </w:rPr>
              <w:t>4</w:t>
            </w:r>
          </w:p>
        </w:tc>
        <w:tc>
          <w:tcPr>
            <w:tcW w:type="dxa" w:w="576"/>
            <w:vAlign w:val="top"/>
            <w:shd w:fill="F7F3EA"/>
            <w:tcMar>
              <w:top w:w="60" w:type="dxa"/>
              <w:start w:w="80" w:type="dxa"/>
              <w:bottom w:w="60" w:type="dxa"/>
              <w:end w:w="80" w:type="dxa"/>
            </w:tcMar>
          </w:tcPr>
          <w:p>
            <w:pPr>
              <w:spacing w:after="20"/>
            </w:pPr>
            <w:r>
              <w:rPr>
                <w:sz w:val="15"/>
              </w:rPr>
              <w:t>Manual</w:t>
            </w:r>
          </w:p>
        </w:tc>
        <w:tc>
          <w:tcPr>
            <w:tcW w:type="dxa" w:w="4464"/>
            <w:vAlign w:val="top"/>
            <w:shd w:fill="F7F3EA"/>
            <w:tcMar>
              <w:top w:w="60" w:type="dxa"/>
              <w:start w:w="80" w:type="dxa"/>
              <w:bottom w:w="60" w:type="dxa"/>
              <w:end w:w="80" w:type="dxa"/>
            </w:tcMar>
          </w:tcPr>
          <w:p>
            <w:pPr>
              <w:spacing w:after="20"/>
            </w:pPr>
            <w:r>
              <w:rPr>
                <w:sz w:val="15"/>
              </w:rPr>
              <w:t>Student-generated evidence-and-judgment response</w:t>
            </w:r>
          </w:p>
        </w:tc>
        <w:tc>
          <w:tcPr>
            <w:tcW w:type="dxa" w:w="5112"/>
            <w:vAlign w:val="top"/>
            <w:shd w:fill="F7F3EA"/>
            <w:tcMar>
              <w:top w:w="60" w:type="dxa"/>
              <w:start w:w="80" w:type="dxa"/>
              <w:bottom w:w="60" w:type="dxa"/>
              <w:end w:w="80" w:type="dxa"/>
            </w:tcMar>
          </w:tcPr>
          <w:p>
            <w:pPr>
              <w:spacing w:after="20"/>
            </w:pPr>
            <w:r>
              <w:rPr>
                <w:sz w:val="15"/>
              </w:rPr>
              <w:t>Look for a specific course source or claim, accurate context, explicit reasoning, and a meaningful limit or uncertainty.</w:t>
            </w:r>
          </w:p>
        </w:tc>
      </w:tr>
      <w:tr>
        <w:trPr>
          <w:cantSplit w:val="true"/>
        </w:trPr>
        <w:tc>
          <w:tcPr>
            <w:tcW w:type="dxa" w:w="504"/>
            <w:vAlign w:val="top"/>
            <w:tcMar>
              <w:top w:w="60" w:type="dxa"/>
              <w:start w:w="80" w:type="dxa"/>
              <w:bottom w:w="60" w:type="dxa"/>
              <w:end w:w="80" w:type="dxa"/>
            </w:tcMar>
          </w:tcPr>
          <w:p>
            <w:pPr>
              <w:spacing w:after="20"/>
            </w:pPr>
            <w:r>
              <w:rPr>
                <w:sz w:val="15"/>
              </w:rPr>
              <w:t>5</w:t>
            </w:r>
          </w:p>
        </w:tc>
        <w:tc>
          <w:tcPr>
            <w:tcW w:type="dxa" w:w="576"/>
            <w:vAlign w:val="top"/>
            <w:tcMar>
              <w:top w:w="60" w:type="dxa"/>
              <w:start w:w="80" w:type="dxa"/>
              <w:bottom w:w="60" w:type="dxa"/>
              <w:end w:w="80" w:type="dxa"/>
            </w:tcMar>
          </w:tcPr>
          <w:p>
            <w:pPr>
              <w:spacing w:after="20"/>
            </w:pPr>
            <w:r>
              <w:rPr>
                <w:sz w:val="15"/>
              </w:rPr>
              <w:t>Manual</w:t>
            </w:r>
          </w:p>
        </w:tc>
        <w:tc>
          <w:tcPr>
            <w:tcW w:type="dxa" w:w="4464"/>
            <w:vAlign w:val="top"/>
            <w:tcMar>
              <w:top w:w="60" w:type="dxa"/>
              <w:start w:w="80" w:type="dxa"/>
              <w:bottom w:w="60" w:type="dxa"/>
              <w:end w:w="80" w:type="dxa"/>
            </w:tcMar>
          </w:tcPr>
          <w:p>
            <w:pPr>
              <w:spacing w:after="20"/>
            </w:pPr>
            <w:r>
              <w:rPr>
                <w:sz w:val="15"/>
              </w:rPr>
              <w:t>Student-generated evidence-and-judgment response</w:t>
            </w:r>
          </w:p>
        </w:tc>
        <w:tc>
          <w:tcPr>
            <w:tcW w:type="dxa" w:w="5112"/>
            <w:vAlign w:val="top"/>
            <w:tcMar>
              <w:top w:w="60" w:type="dxa"/>
              <w:start w:w="80" w:type="dxa"/>
              <w:bottom w:w="60" w:type="dxa"/>
              <w:end w:w="80" w:type="dxa"/>
            </w:tcMar>
          </w:tcPr>
          <w:p>
            <w:pPr>
              <w:spacing w:after="20"/>
            </w:pPr>
            <w:r>
              <w:rPr>
                <w:sz w:val="15"/>
              </w:rPr>
              <w:t>Look for a specific course source or claim, accurate context, explicit reasoning, and a meaningful limit or uncertainty.</w:t>
            </w:r>
          </w:p>
        </w:tc>
      </w:tr>
    </w:tbl>
    <w:p>
      <w:pPr>
        <w:spacing w:after="20"/>
      </w:pPr>
    </w:p>
    <w:p>
      <w:pPr>
        <w:pStyle w:val="Heading2"/>
      </w:pPr>
      <w:r>
        <w:t>Reading Check 8: Race, Labor, and Violence</w:t>
      </w:r>
    </w:p>
    <w:tbl>
      <w:tblPr>
        <w:tblStyle w:val="TableGrid"/>
        <w:tblW w:type="auto" w:w="0"/>
        <w:jc w:val="center"/>
        <w:tblLook w:firstColumn="1" w:firstRow="1" w:lastColumn="0" w:lastRow="0" w:noHBand="0" w:noVBand="1" w:val="04A0"/>
      </w:tblPr>
      <w:tblGrid>
        <w:gridCol w:w="2541"/>
        <w:gridCol w:w="2541"/>
        <w:gridCol w:w="2541"/>
        <w:gridCol w:w="2541"/>
      </w:tblGrid>
      <w:tr>
        <w:trPr>
          <w:tblHeader w:val="true"/>
          <w:cantSplit w:val="true"/>
        </w:trPr>
        <w:tc>
          <w:tcPr>
            <w:tcW w:type="dxa" w:w="504"/>
            <w:shd w:fill="24364B"/>
            <w:vAlign w:val="center"/>
            <w:tcMar>
              <w:top w:w="60" w:type="dxa"/>
              <w:start w:w="80" w:type="dxa"/>
              <w:bottom w:w="60" w:type="dxa"/>
              <w:end w:w="80" w:type="dxa"/>
            </w:tcMar>
          </w:tcPr>
          <w:p>
            <w:r>
              <w:rPr>
                <w:b/>
                <w:color w:val="FFFFFF"/>
                <w:sz w:val="15"/>
              </w:rPr>
              <w:t>Q</w:t>
            </w:r>
          </w:p>
        </w:tc>
        <w:tc>
          <w:tcPr>
            <w:tcW w:type="dxa" w:w="576"/>
            <w:shd w:fill="24364B"/>
            <w:vAlign w:val="center"/>
            <w:tcMar>
              <w:top w:w="60" w:type="dxa"/>
              <w:start w:w="80" w:type="dxa"/>
              <w:bottom w:w="60" w:type="dxa"/>
              <w:end w:w="80" w:type="dxa"/>
            </w:tcMar>
          </w:tcPr>
          <w:p>
            <w:r>
              <w:rPr>
                <w:b/>
                <w:color w:val="FFFFFF"/>
                <w:sz w:val="15"/>
              </w:rPr>
              <w:t>Key</w:t>
            </w:r>
          </w:p>
        </w:tc>
        <w:tc>
          <w:tcPr>
            <w:tcW w:type="dxa" w:w="4464"/>
            <w:shd w:fill="24364B"/>
            <w:vAlign w:val="center"/>
            <w:tcMar>
              <w:top w:w="60" w:type="dxa"/>
              <w:start w:w="80" w:type="dxa"/>
              <w:bottom w:w="60" w:type="dxa"/>
              <w:end w:w="80" w:type="dxa"/>
            </w:tcMar>
          </w:tcPr>
          <w:p>
            <w:r>
              <w:rPr>
                <w:b/>
                <w:color w:val="FFFFFF"/>
                <w:sz w:val="15"/>
              </w:rPr>
              <w:t>Correct response</w:t>
            </w:r>
          </w:p>
        </w:tc>
        <w:tc>
          <w:tcPr>
            <w:tcW w:type="dxa" w:w="5112"/>
            <w:shd w:fill="24364B"/>
            <w:vAlign w:val="center"/>
            <w:tcMar>
              <w:top w:w="60" w:type="dxa"/>
              <w:start w:w="80" w:type="dxa"/>
              <w:bottom w:w="60" w:type="dxa"/>
              <w:end w:w="80" w:type="dxa"/>
            </w:tcMar>
          </w:tcPr>
          <w:p>
            <w:r>
              <w:rPr>
                <w:b/>
                <w:color w:val="FFFFFF"/>
                <w:sz w:val="15"/>
              </w:rPr>
              <w:t>Rationale</w:t>
            </w:r>
          </w:p>
        </w:tc>
      </w:tr>
      <w:tr>
        <w:trPr>
          <w:cantSplit w:val="true"/>
        </w:trPr>
        <w:tc>
          <w:tcPr>
            <w:tcW w:type="dxa" w:w="504"/>
            <w:vAlign w:val="top"/>
            <w:tcMar>
              <w:top w:w="60" w:type="dxa"/>
              <w:start w:w="80" w:type="dxa"/>
              <w:bottom w:w="60" w:type="dxa"/>
              <w:end w:w="80" w:type="dxa"/>
            </w:tcMar>
          </w:tcPr>
          <w:p>
            <w:pPr>
              <w:spacing w:after="20"/>
            </w:pPr>
            <w:r>
              <w:rPr>
                <w:sz w:val="15"/>
              </w:rPr>
              <w:t>1</w:t>
            </w:r>
          </w:p>
        </w:tc>
        <w:tc>
          <w:tcPr>
            <w:tcW w:type="dxa" w:w="576"/>
            <w:vAlign w:val="top"/>
            <w:tcMar>
              <w:top w:w="60" w:type="dxa"/>
              <w:start w:w="80" w:type="dxa"/>
              <w:bottom w:w="60" w:type="dxa"/>
              <w:end w:w="80" w:type="dxa"/>
            </w:tcMar>
          </w:tcPr>
          <w:p>
            <w:pPr>
              <w:spacing w:after="20"/>
            </w:pPr>
            <w:r>
              <w:rPr>
                <w:sz w:val="15"/>
              </w:rPr>
              <w:t>B</w:t>
            </w:r>
          </w:p>
        </w:tc>
        <w:tc>
          <w:tcPr>
            <w:tcW w:type="dxa" w:w="4464"/>
            <w:vAlign w:val="top"/>
            <w:tcMar>
              <w:top w:w="60" w:type="dxa"/>
              <w:start w:w="80" w:type="dxa"/>
              <w:bottom w:w="60" w:type="dxa"/>
              <w:end w:w="80" w:type="dxa"/>
            </w:tcMar>
          </w:tcPr>
          <w:p>
            <w:pPr>
              <w:spacing w:after="20"/>
            </w:pPr>
            <w:r>
              <w:rPr>
                <w:sz w:val="15"/>
              </w:rPr>
              <w:t>Law assigned unequal rights and mobility</w:t>
            </w:r>
          </w:p>
        </w:tc>
        <w:tc>
          <w:tcPr>
            <w:tcW w:type="dxa" w:w="5112"/>
            <w:vAlign w:val="top"/>
            <w:tcMar>
              <w:top w:w="60" w:type="dxa"/>
              <w:start w:w="80" w:type="dxa"/>
              <w:bottom w:w="60" w:type="dxa"/>
              <w:end w:w="80" w:type="dxa"/>
            </w:tcMar>
          </w:tcPr>
          <w:p>
            <w:pPr>
              <w:spacing w:after="20"/>
            </w:pPr>
            <w:r>
              <w:rPr>
                <w:sz w:val="15"/>
              </w:rPr>
              <w:t>The correct response connects the unit’s evidence to its central historical interpretation.</w:t>
            </w:r>
          </w:p>
        </w:tc>
      </w:tr>
      <w:tr>
        <w:trPr>
          <w:cantSplit w:val="true"/>
        </w:trPr>
        <w:tc>
          <w:tcPr>
            <w:tcW w:type="dxa" w:w="504"/>
            <w:vAlign w:val="top"/>
            <w:shd w:fill="F7F3EA"/>
            <w:tcMar>
              <w:top w:w="60" w:type="dxa"/>
              <w:start w:w="80" w:type="dxa"/>
              <w:bottom w:w="60" w:type="dxa"/>
              <w:end w:w="80" w:type="dxa"/>
            </w:tcMar>
          </w:tcPr>
          <w:p>
            <w:pPr>
              <w:spacing w:after="20"/>
            </w:pPr>
            <w:r>
              <w:rPr>
                <w:sz w:val="15"/>
              </w:rPr>
              <w:t>2</w:t>
            </w:r>
          </w:p>
        </w:tc>
        <w:tc>
          <w:tcPr>
            <w:tcW w:type="dxa" w:w="576"/>
            <w:vAlign w:val="top"/>
            <w:shd w:fill="F7F3EA"/>
            <w:tcMar>
              <w:top w:w="60" w:type="dxa"/>
              <w:start w:w="80" w:type="dxa"/>
              <w:bottom w:w="60" w:type="dxa"/>
              <w:end w:w="80" w:type="dxa"/>
            </w:tcMar>
          </w:tcPr>
          <w:p>
            <w:pPr>
              <w:spacing w:after="20"/>
            </w:pPr>
            <w:r>
              <w:rPr>
                <w:sz w:val="15"/>
              </w:rPr>
              <w:t>C</w:t>
            </w:r>
          </w:p>
        </w:tc>
        <w:tc>
          <w:tcPr>
            <w:tcW w:type="dxa" w:w="4464"/>
            <w:vAlign w:val="top"/>
            <w:shd w:fill="F7F3EA"/>
            <w:tcMar>
              <w:top w:w="60" w:type="dxa"/>
              <w:start w:w="80" w:type="dxa"/>
              <w:bottom w:w="60" w:type="dxa"/>
              <w:end w:w="80" w:type="dxa"/>
            </w:tcMar>
          </w:tcPr>
          <w:p>
            <w:pPr>
              <w:spacing w:after="20"/>
            </w:pPr>
            <w:r>
              <w:rPr>
                <w:sz w:val="15"/>
              </w:rPr>
              <w:t>To identify audience-shaped framing</w:t>
            </w:r>
          </w:p>
        </w:tc>
        <w:tc>
          <w:tcPr>
            <w:tcW w:type="dxa" w:w="5112"/>
            <w:vAlign w:val="top"/>
            <w:shd w:fill="F7F3EA"/>
            <w:tcMar>
              <w:top w:w="60" w:type="dxa"/>
              <w:start w:w="80" w:type="dxa"/>
              <w:bottom w:w="60" w:type="dxa"/>
              <w:end w:w="80" w:type="dxa"/>
            </w:tcMar>
          </w:tcPr>
          <w:p>
            <w:pPr>
              <w:spacing w:after="20"/>
            </w:pPr>
            <w:r>
              <w:rPr>
                <w:sz w:val="15"/>
              </w:rPr>
              <w:t>The correct response identifies corroboration, context, or overlapping power as the key reasoning step.</w:t>
            </w:r>
          </w:p>
        </w:tc>
      </w:tr>
      <w:tr>
        <w:trPr>
          <w:cantSplit w:val="true"/>
        </w:trPr>
        <w:tc>
          <w:tcPr>
            <w:tcW w:type="dxa" w:w="504"/>
            <w:vAlign w:val="top"/>
            <w:tcMar>
              <w:top w:w="60" w:type="dxa"/>
              <w:start w:w="80" w:type="dxa"/>
              <w:bottom w:w="60" w:type="dxa"/>
              <w:end w:w="80" w:type="dxa"/>
            </w:tcMar>
          </w:tcPr>
          <w:p>
            <w:pPr>
              <w:spacing w:after="20"/>
            </w:pPr>
            <w:r>
              <w:rPr>
                <w:sz w:val="15"/>
              </w:rPr>
              <w:t>3</w:t>
            </w:r>
          </w:p>
        </w:tc>
        <w:tc>
          <w:tcPr>
            <w:tcW w:type="dxa" w:w="576"/>
            <w:vAlign w:val="top"/>
            <w:tcMar>
              <w:top w:w="60" w:type="dxa"/>
              <w:start w:w="80" w:type="dxa"/>
              <w:bottom w:w="60" w:type="dxa"/>
              <w:end w:w="80" w:type="dxa"/>
            </w:tcMar>
          </w:tcPr>
          <w:p>
            <w:pPr>
              <w:spacing w:after="20"/>
            </w:pPr>
            <w:r>
              <w:rPr>
                <w:sz w:val="15"/>
              </w:rPr>
              <w:t>B</w:t>
            </w:r>
          </w:p>
        </w:tc>
        <w:tc>
          <w:tcPr>
            <w:tcW w:type="dxa" w:w="4464"/>
            <w:vAlign w:val="top"/>
            <w:tcMar>
              <w:top w:w="60" w:type="dxa"/>
              <w:start w:w="80" w:type="dxa"/>
              <w:bottom w:w="60" w:type="dxa"/>
              <w:end w:w="80" w:type="dxa"/>
            </w:tcMar>
          </w:tcPr>
          <w:p>
            <w:pPr>
              <w:spacing w:after="20"/>
            </w:pPr>
            <w:r>
              <w:rPr>
                <w:sz w:val="15"/>
              </w:rPr>
              <w:t>Use necessary language with context and care</w:t>
            </w:r>
          </w:p>
        </w:tc>
        <w:tc>
          <w:tcPr>
            <w:tcW w:type="dxa" w:w="5112"/>
            <w:vAlign w:val="top"/>
            <w:tcMar>
              <w:top w:w="60" w:type="dxa"/>
              <w:start w:w="80" w:type="dxa"/>
              <w:bottom w:w="60" w:type="dxa"/>
              <w:end w:w="80" w:type="dxa"/>
            </w:tcMar>
          </w:tcPr>
          <w:p>
            <w:pPr>
              <w:spacing w:after="20"/>
            </w:pPr>
            <w:r>
              <w:rPr>
                <w:sz w:val="15"/>
              </w:rPr>
              <w:t>The correct response connects the unit’s evidence to its central historical interpretation.</w:t>
            </w:r>
          </w:p>
        </w:tc>
      </w:tr>
      <w:tr>
        <w:trPr>
          <w:cantSplit w:val="true"/>
        </w:trPr>
        <w:tc>
          <w:tcPr>
            <w:tcW w:type="dxa" w:w="504"/>
            <w:vAlign w:val="top"/>
            <w:shd w:fill="F7F3EA"/>
            <w:tcMar>
              <w:top w:w="60" w:type="dxa"/>
              <w:start w:w="80" w:type="dxa"/>
              <w:bottom w:w="60" w:type="dxa"/>
              <w:end w:w="80" w:type="dxa"/>
            </w:tcMar>
          </w:tcPr>
          <w:p>
            <w:pPr>
              <w:spacing w:after="20"/>
            </w:pPr>
            <w:r>
              <w:rPr>
                <w:sz w:val="15"/>
              </w:rPr>
              <w:t>4</w:t>
            </w:r>
          </w:p>
        </w:tc>
        <w:tc>
          <w:tcPr>
            <w:tcW w:type="dxa" w:w="576"/>
            <w:vAlign w:val="top"/>
            <w:shd w:fill="F7F3EA"/>
            <w:tcMar>
              <w:top w:w="60" w:type="dxa"/>
              <w:start w:w="80" w:type="dxa"/>
              <w:bottom w:w="60" w:type="dxa"/>
              <w:end w:w="80" w:type="dxa"/>
            </w:tcMar>
          </w:tcPr>
          <w:p>
            <w:pPr>
              <w:spacing w:after="20"/>
            </w:pPr>
            <w:r>
              <w:rPr>
                <w:sz w:val="15"/>
              </w:rPr>
              <w:t>Manual</w:t>
            </w:r>
          </w:p>
        </w:tc>
        <w:tc>
          <w:tcPr>
            <w:tcW w:type="dxa" w:w="4464"/>
            <w:vAlign w:val="top"/>
            <w:shd w:fill="F7F3EA"/>
            <w:tcMar>
              <w:top w:w="60" w:type="dxa"/>
              <w:start w:w="80" w:type="dxa"/>
              <w:bottom w:w="60" w:type="dxa"/>
              <w:end w:w="80" w:type="dxa"/>
            </w:tcMar>
          </w:tcPr>
          <w:p>
            <w:pPr>
              <w:spacing w:after="20"/>
            </w:pPr>
            <w:r>
              <w:rPr>
                <w:sz w:val="15"/>
              </w:rPr>
              <w:t>Student-generated evidence-and-judgment response</w:t>
            </w:r>
          </w:p>
        </w:tc>
        <w:tc>
          <w:tcPr>
            <w:tcW w:type="dxa" w:w="5112"/>
            <w:vAlign w:val="top"/>
            <w:shd w:fill="F7F3EA"/>
            <w:tcMar>
              <w:top w:w="60" w:type="dxa"/>
              <w:start w:w="80" w:type="dxa"/>
              <w:bottom w:w="60" w:type="dxa"/>
              <w:end w:w="80" w:type="dxa"/>
            </w:tcMar>
          </w:tcPr>
          <w:p>
            <w:pPr>
              <w:spacing w:after="20"/>
            </w:pPr>
            <w:r>
              <w:rPr>
                <w:sz w:val="15"/>
              </w:rPr>
              <w:t>Look for a specific course source or claim, accurate context, explicit reasoning, and a meaningful limit or uncertainty.</w:t>
            </w:r>
          </w:p>
        </w:tc>
      </w:tr>
      <w:tr>
        <w:trPr>
          <w:cantSplit w:val="true"/>
        </w:trPr>
        <w:tc>
          <w:tcPr>
            <w:tcW w:type="dxa" w:w="504"/>
            <w:vAlign w:val="top"/>
            <w:tcMar>
              <w:top w:w="60" w:type="dxa"/>
              <w:start w:w="80" w:type="dxa"/>
              <w:bottom w:w="60" w:type="dxa"/>
              <w:end w:w="80" w:type="dxa"/>
            </w:tcMar>
          </w:tcPr>
          <w:p>
            <w:pPr>
              <w:spacing w:after="20"/>
            </w:pPr>
            <w:r>
              <w:rPr>
                <w:sz w:val="15"/>
              </w:rPr>
              <w:t>5</w:t>
            </w:r>
          </w:p>
        </w:tc>
        <w:tc>
          <w:tcPr>
            <w:tcW w:type="dxa" w:w="576"/>
            <w:vAlign w:val="top"/>
            <w:tcMar>
              <w:top w:w="60" w:type="dxa"/>
              <w:start w:w="80" w:type="dxa"/>
              <w:bottom w:w="60" w:type="dxa"/>
              <w:end w:w="80" w:type="dxa"/>
            </w:tcMar>
          </w:tcPr>
          <w:p>
            <w:pPr>
              <w:spacing w:after="20"/>
            </w:pPr>
            <w:r>
              <w:rPr>
                <w:sz w:val="15"/>
              </w:rPr>
              <w:t>Manual</w:t>
            </w:r>
          </w:p>
        </w:tc>
        <w:tc>
          <w:tcPr>
            <w:tcW w:type="dxa" w:w="4464"/>
            <w:vAlign w:val="top"/>
            <w:tcMar>
              <w:top w:w="60" w:type="dxa"/>
              <w:start w:w="80" w:type="dxa"/>
              <w:bottom w:w="60" w:type="dxa"/>
              <w:end w:w="80" w:type="dxa"/>
            </w:tcMar>
          </w:tcPr>
          <w:p>
            <w:pPr>
              <w:spacing w:after="20"/>
            </w:pPr>
            <w:r>
              <w:rPr>
                <w:sz w:val="15"/>
              </w:rPr>
              <w:t>Student-generated evidence-and-judgment response</w:t>
            </w:r>
          </w:p>
        </w:tc>
        <w:tc>
          <w:tcPr>
            <w:tcW w:type="dxa" w:w="5112"/>
            <w:vAlign w:val="top"/>
            <w:tcMar>
              <w:top w:w="60" w:type="dxa"/>
              <w:start w:w="80" w:type="dxa"/>
              <w:bottom w:w="60" w:type="dxa"/>
              <w:end w:w="80" w:type="dxa"/>
            </w:tcMar>
          </w:tcPr>
          <w:p>
            <w:pPr>
              <w:spacing w:after="20"/>
            </w:pPr>
            <w:r>
              <w:rPr>
                <w:sz w:val="15"/>
              </w:rPr>
              <w:t>Look for a specific course source or claim, accurate context, explicit reasoning, and a meaningful limit or uncertainty.</w:t>
            </w:r>
          </w:p>
        </w:tc>
      </w:tr>
    </w:tbl>
    <w:p>
      <w:pPr>
        <w:spacing w:after="20"/>
      </w:pPr>
    </w:p>
    <w:p>
      <w:pPr>
        <w:pStyle w:val="Heading2"/>
      </w:pPr>
      <w:r>
        <w:t>Reading Check 9: Conservation and Reclamation</w:t>
      </w:r>
    </w:p>
    <w:tbl>
      <w:tblPr>
        <w:tblStyle w:val="TableGrid"/>
        <w:tblW w:type="auto" w:w="0"/>
        <w:jc w:val="center"/>
        <w:tblLook w:firstColumn="1" w:firstRow="1" w:lastColumn="0" w:lastRow="0" w:noHBand="0" w:noVBand="1" w:val="04A0"/>
      </w:tblPr>
      <w:tblGrid>
        <w:gridCol w:w="2541"/>
        <w:gridCol w:w="2541"/>
        <w:gridCol w:w="2541"/>
        <w:gridCol w:w="2541"/>
      </w:tblGrid>
      <w:tr>
        <w:trPr>
          <w:tblHeader w:val="true"/>
          <w:cantSplit w:val="true"/>
        </w:trPr>
        <w:tc>
          <w:tcPr>
            <w:tcW w:type="dxa" w:w="504"/>
            <w:shd w:fill="24364B"/>
            <w:vAlign w:val="center"/>
            <w:tcMar>
              <w:top w:w="60" w:type="dxa"/>
              <w:start w:w="80" w:type="dxa"/>
              <w:bottom w:w="60" w:type="dxa"/>
              <w:end w:w="80" w:type="dxa"/>
            </w:tcMar>
          </w:tcPr>
          <w:p>
            <w:r>
              <w:rPr>
                <w:b/>
                <w:color w:val="FFFFFF"/>
                <w:sz w:val="15"/>
              </w:rPr>
              <w:t>Q</w:t>
            </w:r>
          </w:p>
        </w:tc>
        <w:tc>
          <w:tcPr>
            <w:tcW w:type="dxa" w:w="576"/>
            <w:shd w:fill="24364B"/>
            <w:vAlign w:val="center"/>
            <w:tcMar>
              <w:top w:w="60" w:type="dxa"/>
              <w:start w:w="80" w:type="dxa"/>
              <w:bottom w:w="60" w:type="dxa"/>
              <w:end w:w="80" w:type="dxa"/>
            </w:tcMar>
          </w:tcPr>
          <w:p>
            <w:r>
              <w:rPr>
                <w:b/>
                <w:color w:val="FFFFFF"/>
                <w:sz w:val="15"/>
              </w:rPr>
              <w:t>Key</w:t>
            </w:r>
          </w:p>
        </w:tc>
        <w:tc>
          <w:tcPr>
            <w:tcW w:type="dxa" w:w="4464"/>
            <w:shd w:fill="24364B"/>
            <w:vAlign w:val="center"/>
            <w:tcMar>
              <w:top w:w="60" w:type="dxa"/>
              <w:start w:w="80" w:type="dxa"/>
              <w:bottom w:w="60" w:type="dxa"/>
              <w:end w:w="80" w:type="dxa"/>
            </w:tcMar>
          </w:tcPr>
          <w:p>
            <w:r>
              <w:rPr>
                <w:b/>
                <w:color w:val="FFFFFF"/>
                <w:sz w:val="15"/>
              </w:rPr>
              <w:t>Correct response</w:t>
            </w:r>
          </w:p>
        </w:tc>
        <w:tc>
          <w:tcPr>
            <w:tcW w:type="dxa" w:w="5112"/>
            <w:shd w:fill="24364B"/>
            <w:vAlign w:val="center"/>
            <w:tcMar>
              <w:top w:w="60" w:type="dxa"/>
              <w:start w:w="80" w:type="dxa"/>
              <w:bottom w:w="60" w:type="dxa"/>
              <w:end w:w="80" w:type="dxa"/>
            </w:tcMar>
          </w:tcPr>
          <w:p>
            <w:r>
              <w:rPr>
                <w:b/>
                <w:color w:val="FFFFFF"/>
                <w:sz w:val="15"/>
              </w:rPr>
              <w:t>Rationale</w:t>
            </w:r>
          </w:p>
        </w:tc>
      </w:tr>
      <w:tr>
        <w:trPr>
          <w:cantSplit w:val="true"/>
        </w:trPr>
        <w:tc>
          <w:tcPr>
            <w:tcW w:type="dxa" w:w="504"/>
            <w:vAlign w:val="top"/>
            <w:tcMar>
              <w:top w:w="60" w:type="dxa"/>
              <w:start w:w="80" w:type="dxa"/>
              <w:bottom w:w="60" w:type="dxa"/>
              <w:end w:w="80" w:type="dxa"/>
            </w:tcMar>
          </w:tcPr>
          <w:p>
            <w:pPr>
              <w:spacing w:after="20"/>
            </w:pPr>
            <w:r>
              <w:rPr>
                <w:sz w:val="15"/>
              </w:rPr>
              <w:t>1</w:t>
            </w:r>
          </w:p>
        </w:tc>
        <w:tc>
          <w:tcPr>
            <w:tcW w:type="dxa" w:w="576"/>
            <w:vAlign w:val="top"/>
            <w:tcMar>
              <w:top w:w="60" w:type="dxa"/>
              <w:start w:w="80" w:type="dxa"/>
              <w:bottom w:w="60" w:type="dxa"/>
              <w:end w:w="80" w:type="dxa"/>
            </w:tcMar>
          </w:tcPr>
          <w:p>
            <w:pPr>
              <w:spacing w:after="20"/>
            </w:pPr>
            <w:r>
              <w:rPr>
                <w:sz w:val="15"/>
              </w:rPr>
              <w:t>A</w:t>
            </w:r>
          </w:p>
        </w:tc>
        <w:tc>
          <w:tcPr>
            <w:tcW w:type="dxa" w:w="4464"/>
            <w:vAlign w:val="top"/>
            <w:tcMar>
              <w:top w:w="60" w:type="dxa"/>
              <w:start w:w="80" w:type="dxa"/>
              <w:bottom w:w="60" w:type="dxa"/>
              <w:end w:w="80" w:type="dxa"/>
            </w:tcMar>
          </w:tcPr>
          <w:p>
            <w:pPr>
              <w:spacing w:after="20"/>
            </w:pPr>
            <w:r>
              <w:rPr>
                <w:sz w:val="15"/>
              </w:rPr>
              <w:t>Indigenous residence and displacement</w:t>
            </w:r>
          </w:p>
        </w:tc>
        <w:tc>
          <w:tcPr>
            <w:tcW w:type="dxa" w:w="5112"/>
            <w:vAlign w:val="top"/>
            <w:tcMar>
              <w:top w:w="60" w:type="dxa"/>
              <w:start w:w="80" w:type="dxa"/>
              <w:bottom w:w="60" w:type="dxa"/>
              <w:end w:w="80" w:type="dxa"/>
            </w:tcMar>
          </w:tcPr>
          <w:p>
            <w:pPr>
              <w:spacing w:after="20"/>
            </w:pPr>
            <w:r>
              <w:rPr>
                <w:sz w:val="15"/>
              </w:rPr>
              <w:t>The correct response identifies the historically relevant institution, policy, or analytical move.</w:t>
            </w:r>
          </w:p>
        </w:tc>
      </w:tr>
      <w:tr>
        <w:trPr>
          <w:cantSplit w:val="true"/>
        </w:trPr>
        <w:tc>
          <w:tcPr>
            <w:tcW w:type="dxa" w:w="504"/>
            <w:vAlign w:val="top"/>
            <w:shd w:fill="F7F3EA"/>
            <w:tcMar>
              <w:top w:w="60" w:type="dxa"/>
              <w:start w:w="80" w:type="dxa"/>
              <w:bottom w:w="60" w:type="dxa"/>
              <w:end w:w="80" w:type="dxa"/>
            </w:tcMar>
          </w:tcPr>
          <w:p>
            <w:pPr>
              <w:spacing w:after="20"/>
            </w:pPr>
            <w:r>
              <w:rPr>
                <w:sz w:val="15"/>
              </w:rPr>
              <w:t>2</w:t>
            </w:r>
          </w:p>
        </w:tc>
        <w:tc>
          <w:tcPr>
            <w:tcW w:type="dxa" w:w="576"/>
            <w:vAlign w:val="top"/>
            <w:shd w:fill="F7F3EA"/>
            <w:tcMar>
              <w:top w:w="60" w:type="dxa"/>
              <w:start w:w="80" w:type="dxa"/>
              <w:bottom w:w="60" w:type="dxa"/>
              <w:end w:w="80" w:type="dxa"/>
            </w:tcMar>
          </w:tcPr>
          <w:p>
            <w:pPr>
              <w:spacing w:after="20"/>
            </w:pPr>
            <w:r>
              <w:rPr>
                <w:sz w:val="15"/>
              </w:rPr>
              <w:t>B</w:t>
            </w:r>
          </w:p>
        </w:tc>
        <w:tc>
          <w:tcPr>
            <w:tcW w:type="dxa" w:w="4464"/>
            <w:vAlign w:val="top"/>
            <w:shd w:fill="F7F3EA"/>
            <w:tcMar>
              <w:top w:w="60" w:type="dxa"/>
              <w:start w:w="80" w:type="dxa"/>
              <w:bottom w:w="60" w:type="dxa"/>
              <w:end w:w="80" w:type="dxa"/>
            </w:tcMar>
          </w:tcPr>
          <w:p>
            <w:pPr>
              <w:spacing w:after="20"/>
            </w:pPr>
            <w:r>
              <w:rPr>
                <w:sz w:val="15"/>
              </w:rPr>
              <w:t>Store and redirect water for development</w:t>
            </w:r>
          </w:p>
        </w:tc>
        <w:tc>
          <w:tcPr>
            <w:tcW w:type="dxa" w:w="5112"/>
            <w:vAlign w:val="top"/>
            <w:shd w:fill="F7F3EA"/>
            <w:tcMar>
              <w:top w:w="60" w:type="dxa"/>
              <w:start w:w="80" w:type="dxa"/>
              <w:bottom w:w="60" w:type="dxa"/>
              <w:end w:w="80" w:type="dxa"/>
            </w:tcMar>
          </w:tcPr>
          <w:p>
            <w:pPr>
              <w:spacing w:after="20"/>
            </w:pPr>
            <w:r>
              <w:rPr>
                <w:sz w:val="15"/>
              </w:rPr>
              <w:t>The correct response connects the unit’s evidence to its central historical interpretation.</w:t>
            </w:r>
          </w:p>
        </w:tc>
      </w:tr>
      <w:tr>
        <w:trPr>
          <w:cantSplit w:val="true"/>
        </w:trPr>
        <w:tc>
          <w:tcPr>
            <w:tcW w:type="dxa" w:w="504"/>
            <w:vAlign w:val="top"/>
            <w:tcMar>
              <w:top w:w="60" w:type="dxa"/>
              <w:start w:w="80" w:type="dxa"/>
              <w:bottom w:w="60" w:type="dxa"/>
              <w:end w:w="80" w:type="dxa"/>
            </w:tcMar>
          </w:tcPr>
          <w:p>
            <w:pPr>
              <w:spacing w:after="20"/>
            </w:pPr>
            <w:r>
              <w:rPr>
                <w:sz w:val="15"/>
              </w:rPr>
              <w:t>3</w:t>
            </w:r>
          </w:p>
        </w:tc>
        <w:tc>
          <w:tcPr>
            <w:tcW w:type="dxa" w:w="576"/>
            <w:vAlign w:val="top"/>
            <w:tcMar>
              <w:top w:w="60" w:type="dxa"/>
              <w:start w:w="80" w:type="dxa"/>
              <w:bottom w:w="60" w:type="dxa"/>
              <w:end w:w="80" w:type="dxa"/>
            </w:tcMar>
          </w:tcPr>
          <w:p>
            <w:pPr>
              <w:spacing w:after="20"/>
            </w:pPr>
            <w:r>
              <w:rPr>
                <w:sz w:val="15"/>
              </w:rPr>
              <w:t>C</w:t>
            </w:r>
          </w:p>
        </w:tc>
        <w:tc>
          <w:tcPr>
            <w:tcW w:type="dxa" w:w="4464"/>
            <w:vAlign w:val="top"/>
            <w:tcMar>
              <w:top w:w="60" w:type="dxa"/>
              <w:start w:w="80" w:type="dxa"/>
              <w:bottom w:w="60" w:type="dxa"/>
              <w:end w:w="80" w:type="dxa"/>
            </w:tcMar>
          </w:tcPr>
          <w:p>
            <w:pPr>
              <w:spacing w:after="20"/>
            </w:pPr>
            <w:r>
              <w:rPr>
                <w:sz w:val="15"/>
              </w:rPr>
              <w:t>Which public governs and who is excluded</w:t>
            </w:r>
          </w:p>
        </w:tc>
        <w:tc>
          <w:tcPr>
            <w:tcW w:type="dxa" w:w="5112"/>
            <w:vAlign w:val="top"/>
            <w:tcMar>
              <w:top w:w="60" w:type="dxa"/>
              <w:start w:w="80" w:type="dxa"/>
              <w:bottom w:w="60" w:type="dxa"/>
              <w:end w:w="80" w:type="dxa"/>
            </w:tcMar>
          </w:tcPr>
          <w:p>
            <w:pPr>
              <w:spacing w:after="20"/>
            </w:pPr>
            <w:r>
              <w:rPr>
                <w:sz w:val="15"/>
              </w:rPr>
              <w:t>The correct response identifies corroboration, context, or overlapping power as the key reasoning step.</w:t>
            </w:r>
          </w:p>
        </w:tc>
      </w:tr>
      <w:tr>
        <w:trPr>
          <w:cantSplit w:val="true"/>
        </w:trPr>
        <w:tc>
          <w:tcPr>
            <w:tcW w:type="dxa" w:w="504"/>
            <w:vAlign w:val="top"/>
            <w:shd w:fill="F7F3EA"/>
            <w:tcMar>
              <w:top w:w="60" w:type="dxa"/>
              <w:start w:w="80" w:type="dxa"/>
              <w:bottom w:w="60" w:type="dxa"/>
              <w:end w:w="80" w:type="dxa"/>
            </w:tcMar>
          </w:tcPr>
          <w:p>
            <w:pPr>
              <w:spacing w:after="20"/>
            </w:pPr>
            <w:r>
              <w:rPr>
                <w:sz w:val="15"/>
              </w:rPr>
              <w:t>4</w:t>
            </w:r>
          </w:p>
        </w:tc>
        <w:tc>
          <w:tcPr>
            <w:tcW w:type="dxa" w:w="576"/>
            <w:vAlign w:val="top"/>
            <w:shd w:fill="F7F3EA"/>
            <w:tcMar>
              <w:top w:w="60" w:type="dxa"/>
              <w:start w:w="80" w:type="dxa"/>
              <w:bottom w:w="60" w:type="dxa"/>
              <w:end w:w="80" w:type="dxa"/>
            </w:tcMar>
          </w:tcPr>
          <w:p>
            <w:pPr>
              <w:spacing w:after="20"/>
            </w:pPr>
            <w:r>
              <w:rPr>
                <w:sz w:val="15"/>
              </w:rPr>
              <w:t>Manual</w:t>
            </w:r>
          </w:p>
        </w:tc>
        <w:tc>
          <w:tcPr>
            <w:tcW w:type="dxa" w:w="4464"/>
            <w:vAlign w:val="top"/>
            <w:shd w:fill="F7F3EA"/>
            <w:tcMar>
              <w:top w:w="60" w:type="dxa"/>
              <w:start w:w="80" w:type="dxa"/>
              <w:bottom w:w="60" w:type="dxa"/>
              <w:end w:w="80" w:type="dxa"/>
            </w:tcMar>
          </w:tcPr>
          <w:p>
            <w:pPr>
              <w:spacing w:after="20"/>
            </w:pPr>
            <w:r>
              <w:rPr>
                <w:sz w:val="15"/>
              </w:rPr>
              <w:t>Student-generated evidence-and-judgment response</w:t>
            </w:r>
          </w:p>
        </w:tc>
        <w:tc>
          <w:tcPr>
            <w:tcW w:type="dxa" w:w="5112"/>
            <w:vAlign w:val="top"/>
            <w:shd w:fill="F7F3EA"/>
            <w:tcMar>
              <w:top w:w="60" w:type="dxa"/>
              <w:start w:w="80" w:type="dxa"/>
              <w:bottom w:w="60" w:type="dxa"/>
              <w:end w:w="80" w:type="dxa"/>
            </w:tcMar>
          </w:tcPr>
          <w:p>
            <w:pPr>
              <w:spacing w:after="20"/>
            </w:pPr>
            <w:r>
              <w:rPr>
                <w:sz w:val="15"/>
              </w:rPr>
              <w:t>Look for a specific course source or claim, accurate context, explicit reasoning, and a meaningful limit or uncertainty.</w:t>
            </w:r>
          </w:p>
        </w:tc>
      </w:tr>
      <w:tr>
        <w:trPr>
          <w:cantSplit w:val="true"/>
        </w:trPr>
        <w:tc>
          <w:tcPr>
            <w:tcW w:type="dxa" w:w="504"/>
            <w:vAlign w:val="top"/>
            <w:tcMar>
              <w:top w:w="60" w:type="dxa"/>
              <w:start w:w="80" w:type="dxa"/>
              <w:bottom w:w="60" w:type="dxa"/>
              <w:end w:w="80" w:type="dxa"/>
            </w:tcMar>
          </w:tcPr>
          <w:p>
            <w:pPr>
              <w:spacing w:after="20"/>
            </w:pPr>
            <w:r>
              <w:rPr>
                <w:sz w:val="15"/>
              </w:rPr>
              <w:t>5</w:t>
            </w:r>
          </w:p>
        </w:tc>
        <w:tc>
          <w:tcPr>
            <w:tcW w:type="dxa" w:w="576"/>
            <w:vAlign w:val="top"/>
            <w:tcMar>
              <w:top w:w="60" w:type="dxa"/>
              <w:start w:w="80" w:type="dxa"/>
              <w:bottom w:w="60" w:type="dxa"/>
              <w:end w:w="80" w:type="dxa"/>
            </w:tcMar>
          </w:tcPr>
          <w:p>
            <w:pPr>
              <w:spacing w:after="20"/>
            </w:pPr>
            <w:r>
              <w:rPr>
                <w:sz w:val="15"/>
              </w:rPr>
              <w:t>Manual</w:t>
            </w:r>
          </w:p>
        </w:tc>
        <w:tc>
          <w:tcPr>
            <w:tcW w:type="dxa" w:w="4464"/>
            <w:vAlign w:val="top"/>
            <w:tcMar>
              <w:top w:w="60" w:type="dxa"/>
              <w:start w:w="80" w:type="dxa"/>
              <w:bottom w:w="60" w:type="dxa"/>
              <w:end w:w="80" w:type="dxa"/>
            </w:tcMar>
          </w:tcPr>
          <w:p>
            <w:pPr>
              <w:spacing w:after="20"/>
            </w:pPr>
            <w:r>
              <w:rPr>
                <w:sz w:val="15"/>
              </w:rPr>
              <w:t>Student-generated evidence-and-judgment response</w:t>
            </w:r>
          </w:p>
        </w:tc>
        <w:tc>
          <w:tcPr>
            <w:tcW w:type="dxa" w:w="5112"/>
            <w:vAlign w:val="top"/>
            <w:tcMar>
              <w:top w:w="60" w:type="dxa"/>
              <w:start w:w="80" w:type="dxa"/>
              <w:bottom w:w="60" w:type="dxa"/>
              <w:end w:w="80" w:type="dxa"/>
            </w:tcMar>
          </w:tcPr>
          <w:p>
            <w:pPr>
              <w:spacing w:after="20"/>
            </w:pPr>
            <w:r>
              <w:rPr>
                <w:sz w:val="15"/>
              </w:rPr>
              <w:t>Look for a specific course source or claim, accurate context, explicit reasoning, and a meaningful limit or uncertainty.</w:t>
            </w:r>
          </w:p>
        </w:tc>
      </w:tr>
    </w:tbl>
    <w:p>
      <w:pPr>
        <w:spacing w:after="20"/>
      </w:pPr>
    </w:p>
    <w:p>
      <w:pPr>
        <w:pStyle w:val="Heading2"/>
      </w:pPr>
      <w:r>
        <w:t>Reading Check 10: Dust, Development, and the New Deal</w:t>
      </w:r>
    </w:p>
    <w:tbl>
      <w:tblPr>
        <w:tblStyle w:val="TableGrid"/>
        <w:tblW w:type="auto" w:w="0"/>
        <w:jc w:val="center"/>
        <w:tblLook w:firstColumn="1" w:firstRow="1" w:lastColumn="0" w:lastRow="0" w:noHBand="0" w:noVBand="1" w:val="04A0"/>
      </w:tblPr>
      <w:tblGrid>
        <w:gridCol w:w="2541"/>
        <w:gridCol w:w="2541"/>
        <w:gridCol w:w="2541"/>
        <w:gridCol w:w="2541"/>
      </w:tblGrid>
      <w:tr>
        <w:trPr>
          <w:tblHeader w:val="true"/>
          <w:cantSplit w:val="true"/>
        </w:trPr>
        <w:tc>
          <w:tcPr>
            <w:tcW w:type="dxa" w:w="504"/>
            <w:shd w:fill="24364B"/>
            <w:vAlign w:val="center"/>
            <w:tcMar>
              <w:top w:w="60" w:type="dxa"/>
              <w:start w:w="80" w:type="dxa"/>
              <w:bottom w:w="60" w:type="dxa"/>
              <w:end w:w="80" w:type="dxa"/>
            </w:tcMar>
          </w:tcPr>
          <w:p>
            <w:r>
              <w:rPr>
                <w:b/>
                <w:color w:val="FFFFFF"/>
                <w:sz w:val="15"/>
              </w:rPr>
              <w:t>Q</w:t>
            </w:r>
          </w:p>
        </w:tc>
        <w:tc>
          <w:tcPr>
            <w:tcW w:type="dxa" w:w="576"/>
            <w:shd w:fill="24364B"/>
            <w:vAlign w:val="center"/>
            <w:tcMar>
              <w:top w:w="60" w:type="dxa"/>
              <w:start w:w="80" w:type="dxa"/>
              <w:bottom w:w="60" w:type="dxa"/>
              <w:end w:w="80" w:type="dxa"/>
            </w:tcMar>
          </w:tcPr>
          <w:p>
            <w:r>
              <w:rPr>
                <w:b/>
                <w:color w:val="FFFFFF"/>
                <w:sz w:val="15"/>
              </w:rPr>
              <w:t>Key</w:t>
            </w:r>
          </w:p>
        </w:tc>
        <w:tc>
          <w:tcPr>
            <w:tcW w:type="dxa" w:w="4464"/>
            <w:shd w:fill="24364B"/>
            <w:vAlign w:val="center"/>
            <w:tcMar>
              <w:top w:w="60" w:type="dxa"/>
              <w:start w:w="80" w:type="dxa"/>
              <w:bottom w:w="60" w:type="dxa"/>
              <w:end w:w="80" w:type="dxa"/>
            </w:tcMar>
          </w:tcPr>
          <w:p>
            <w:r>
              <w:rPr>
                <w:b/>
                <w:color w:val="FFFFFF"/>
                <w:sz w:val="15"/>
              </w:rPr>
              <w:t>Correct response</w:t>
            </w:r>
          </w:p>
        </w:tc>
        <w:tc>
          <w:tcPr>
            <w:tcW w:type="dxa" w:w="5112"/>
            <w:shd w:fill="24364B"/>
            <w:vAlign w:val="center"/>
            <w:tcMar>
              <w:top w:w="60" w:type="dxa"/>
              <w:start w:w="80" w:type="dxa"/>
              <w:bottom w:w="60" w:type="dxa"/>
              <w:end w:w="80" w:type="dxa"/>
            </w:tcMar>
          </w:tcPr>
          <w:p>
            <w:r>
              <w:rPr>
                <w:b/>
                <w:color w:val="FFFFFF"/>
                <w:sz w:val="15"/>
              </w:rPr>
              <w:t>Rationale</w:t>
            </w:r>
          </w:p>
        </w:tc>
      </w:tr>
      <w:tr>
        <w:trPr>
          <w:cantSplit w:val="true"/>
        </w:trPr>
        <w:tc>
          <w:tcPr>
            <w:tcW w:type="dxa" w:w="504"/>
            <w:vAlign w:val="top"/>
            <w:tcMar>
              <w:top w:w="60" w:type="dxa"/>
              <w:start w:w="80" w:type="dxa"/>
              <w:bottom w:w="60" w:type="dxa"/>
              <w:end w:w="80" w:type="dxa"/>
            </w:tcMar>
          </w:tcPr>
          <w:p>
            <w:pPr>
              <w:spacing w:after="20"/>
            </w:pPr>
            <w:r>
              <w:rPr>
                <w:sz w:val="15"/>
              </w:rPr>
              <w:t>1</w:t>
            </w:r>
          </w:p>
        </w:tc>
        <w:tc>
          <w:tcPr>
            <w:tcW w:type="dxa" w:w="576"/>
            <w:vAlign w:val="top"/>
            <w:tcMar>
              <w:top w:w="60" w:type="dxa"/>
              <w:start w:w="80" w:type="dxa"/>
              <w:bottom w:w="60" w:type="dxa"/>
              <w:end w:w="80" w:type="dxa"/>
            </w:tcMar>
          </w:tcPr>
          <w:p>
            <w:pPr>
              <w:spacing w:after="20"/>
            </w:pPr>
            <w:r>
              <w:rPr>
                <w:sz w:val="15"/>
              </w:rPr>
              <w:t>A</w:t>
            </w:r>
          </w:p>
        </w:tc>
        <w:tc>
          <w:tcPr>
            <w:tcW w:type="dxa" w:w="4464"/>
            <w:vAlign w:val="top"/>
            <w:tcMar>
              <w:top w:w="60" w:type="dxa"/>
              <w:start w:w="80" w:type="dxa"/>
              <w:bottom w:w="60" w:type="dxa"/>
              <w:end w:w="80" w:type="dxa"/>
            </w:tcMar>
          </w:tcPr>
          <w:p>
            <w:pPr>
              <w:spacing w:after="20"/>
            </w:pPr>
            <w:r>
              <w:rPr>
                <w:sz w:val="15"/>
              </w:rPr>
              <w:t>Drought joined to land use and markets</w:t>
            </w:r>
          </w:p>
        </w:tc>
        <w:tc>
          <w:tcPr>
            <w:tcW w:type="dxa" w:w="5112"/>
            <w:vAlign w:val="top"/>
            <w:tcMar>
              <w:top w:w="60" w:type="dxa"/>
              <w:start w:w="80" w:type="dxa"/>
              <w:bottom w:w="60" w:type="dxa"/>
              <w:end w:w="80" w:type="dxa"/>
            </w:tcMar>
          </w:tcPr>
          <w:p>
            <w:pPr>
              <w:spacing w:after="20"/>
            </w:pPr>
            <w:r>
              <w:rPr>
                <w:sz w:val="15"/>
              </w:rPr>
              <w:t>The correct response identifies the historically relevant institution, policy, or analytical move.</w:t>
            </w:r>
          </w:p>
        </w:tc>
      </w:tr>
      <w:tr>
        <w:trPr>
          <w:cantSplit w:val="true"/>
        </w:trPr>
        <w:tc>
          <w:tcPr>
            <w:tcW w:type="dxa" w:w="504"/>
            <w:vAlign w:val="top"/>
            <w:shd w:fill="F7F3EA"/>
            <w:tcMar>
              <w:top w:w="60" w:type="dxa"/>
              <w:start w:w="80" w:type="dxa"/>
              <w:bottom w:w="60" w:type="dxa"/>
              <w:end w:w="80" w:type="dxa"/>
            </w:tcMar>
          </w:tcPr>
          <w:p>
            <w:pPr>
              <w:spacing w:after="20"/>
            </w:pPr>
            <w:r>
              <w:rPr>
                <w:sz w:val="15"/>
              </w:rPr>
              <w:t>2</w:t>
            </w:r>
          </w:p>
        </w:tc>
        <w:tc>
          <w:tcPr>
            <w:tcW w:type="dxa" w:w="576"/>
            <w:vAlign w:val="top"/>
            <w:shd w:fill="F7F3EA"/>
            <w:tcMar>
              <w:top w:w="60" w:type="dxa"/>
              <w:start w:w="80" w:type="dxa"/>
              <w:bottom w:w="60" w:type="dxa"/>
              <w:end w:w="80" w:type="dxa"/>
            </w:tcMar>
          </w:tcPr>
          <w:p>
            <w:pPr>
              <w:spacing w:after="20"/>
            </w:pPr>
            <w:r>
              <w:rPr>
                <w:sz w:val="15"/>
              </w:rPr>
              <w:t>B</w:t>
            </w:r>
          </w:p>
        </w:tc>
        <w:tc>
          <w:tcPr>
            <w:tcW w:type="dxa" w:w="4464"/>
            <w:vAlign w:val="top"/>
            <w:shd w:fill="F7F3EA"/>
            <w:tcMar>
              <w:top w:w="60" w:type="dxa"/>
              <w:start w:w="80" w:type="dxa"/>
              <w:bottom w:w="60" w:type="dxa"/>
              <w:end w:w="80" w:type="dxa"/>
            </w:tcMar>
          </w:tcPr>
          <w:p>
            <w:pPr>
              <w:spacing w:after="20"/>
            </w:pPr>
            <w:r>
              <w:rPr>
                <w:sz w:val="15"/>
              </w:rPr>
              <w:t>A federal program shaped purpose and use</w:t>
            </w:r>
          </w:p>
        </w:tc>
        <w:tc>
          <w:tcPr>
            <w:tcW w:type="dxa" w:w="5112"/>
            <w:vAlign w:val="top"/>
            <w:shd w:fill="F7F3EA"/>
            <w:tcMar>
              <w:top w:w="60" w:type="dxa"/>
              <w:start w:w="80" w:type="dxa"/>
              <w:bottom w:w="60" w:type="dxa"/>
              <w:end w:w="80" w:type="dxa"/>
            </w:tcMar>
          </w:tcPr>
          <w:p>
            <w:pPr>
              <w:spacing w:after="20"/>
            </w:pPr>
            <w:r>
              <w:rPr>
                <w:sz w:val="15"/>
              </w:rPr>
              <w:t>The correct response connects the unit’s evidence to its central historical interpretation.</w:t>
            </w:r>
          </w:p>
        </w:tc>
      </w:tr>
      <w:tr>
        <w:trPr>
          <w:cantSplit w:val="true"/>
        </w:trPr>
        <w:tc>
          <w:tcPr>
            <w:tcW w:type="dxa" w:w="504"/>
            <w:vAlign w:val="top"/>
            <w:tcMar>
              <w:top w:w="60" w:type="dxa"/>
              <w:start w:w="80" w:type="dxa"/>
              <w:bottom w:w="60" w:type="dxa"/>
              <w:end w:w="80" w:type="dxa"/>
            </w:tcMar>
          </w:tcPr>
          <w:p>
            <w:pPr>
              <w:spacing w:after="20"/>
            </w:pPr>
            <w:r>
              <w:rPr>
                <w:sz w:val="15"/>
              </w:rPr>
              <w:t>3</w:t>
            </w:r>
          </w:p>
        </w:tc>
        <w:tc>
          <w:tcPr>
            <w:tcW w:type="dxa" w:w="576"/>
            <w:vAlign w:val="top"/>
            <w:tcMar>
              <w:top w:w="60" w:type="dxa"/>
              <w:start w:w="80" w:type="dxa"/>
              <w:bottom w:w="60" w:type="dxa"/>
              <w:end w:w="80" w:type="dxa"/>
            </w:tcMar>
          </w:tcPr>
          <w:p>
            <w:pPr>
              <w:spacing w:after="20"/>
            </w:pPr>
            <w:r>
              <w:rPr>
                <w:sz w:val="15"/>
              </w:rPr>
              <w:t>B</w:t>
            </w:r>
          </w:p>
        </w:tc>
        <w:tc>
          <w:tcPr>
            <w:tcW w:type="dxa" w:w="4464"/>
            <w:vAlign w:val="top"/>
            <w:tcMar>
              <w:top w:w="60" w:type="dxa"/>
              <w:start w:w="80" w:type="dxa"/>
              <w:bottom w:w="60" w:type="dxa"/>
              <w:end w:w="80" w:type="dxa"/>
            </w:tcMar>
          </w:tcPr>
          <w:p>
            <w:pPr>
              <w:spacing w:after="20"/>
            </w:pPr>
            <w:r>
              <w:rPr>
                <w:sz w:val="15"/>
              </w:rPr>
              <w:t>Federal planning, jobs, and infrastructure</w:t>
            </w:r>
          </w:p>
        </w:tc>
        <w:tc>
          <w:tcPr>
            <w:tcW w:type="dxa" w:w="5112"/>
            <w:vAlign w:val="top"/>
            <w:tcMar>
              <w:top w:w="60" w:type="dxa"/>
              <w:start w:w="80" w:type="dxa"/>
              <w:bottom w:w="60" w:type="dxa"/>
              <w:end w:w="80" w:type="dxa"/>
            </w:tcMar>
          </w:tcPr>
          <w:p>
            <w:pPr>
              <w:spacing w:after="20"/>
            </w:pPr>
            <w:r>
              <w:rPr>
                <w:sz w:val="15"/>
              </w:rPr>
              <w:t>The correct response connects the unit’s evidence to its central historical interpretation.</w:t>
            </w:r>
          </w:p>
        </w:tc>
      </w:tr>
      <w:tr>
        <w:trPr>
          <w:cantSplit w:val="true"/>
        </w:trPr>
        <w:tc>
          <w:tcPr>
            <w:tcW w:type="dxa" w:w="504"/>
            <w:vAlign w:val="top"/>
            <w:shd w:fill="F7F3EA"/>
            <w:tcMar>
              <w:top w:w="60" w:type="dxa"/>
              <w:start w:w="80" w:type="dxa"/>
              <w:bottom w:w="60" w:type="dxa"/>
              <w:end w:w="80" w:type="dxa"/>
            </w:tcMar>
          </w:tcPr>
          <w:p>
            <w:pPr>
              <w:spacing w:after="20"/>
            </w:pPr>
            <w:r>
              <w:rPr>
                <w:sz w:val="15"/>
              </w:rPr>
              <w:t>4</w:t>
            </w:r>
          </w:p>
        </w:tc>
        <w:tc>
          <w:tcPr>
            <w:tcW w:type="dxa" w:w="576"/>
            <w:vAlign w:val="top"/>
            <w:shd w:fill="F7F3EA"/>
            <w:tcMar>
              <w:top w:w="60" w:type="dxa"/>
              <w:start w:w="80" w:type="dxa"/>
              <w:bottom w:w="60" w:type="dxa"/>
              <w:end w:w="80" w:type="dxa"/>
            </w:tcMar>
          </w:tcPr>
          <w:p>
            <w:pPr>
              <w:spacing w:after="20"/>
            </w:pPr>
            <w:r>
              <w:rPr>
                <w:sz w:val="15"/>
              </w:rPr>
              <w:t>Manual</w:t>
            </w:r>
          </w:p>
        </w:tc>
        <w:tc>
          <w:tcPr>
            <w:tcW w:type="dxa" w:w="4464"/>
            <w:vAlign w:val="top"/>
            <w:shd w:fill="F7F3EA"/>
            <w:tcMar>
              <w:top w:w="60" w:type="dxa"/>
              <w:start w:w="80" w:type="dxa"/>
              <w:bottom w:w="60" w:type="dxa"/>
              <w:end w:w="80" w:type="dxa"/>
            </w:tcMar>
          </w:tcPr>
          <w:p>
            <w:pPr>
              <w:spacing w:after="20"/>
            </w:pPr>
            <w:r>
              <w:rPr>
                <w:sz w:val="15"/>
              </w:rPr>
              <w:t>Student-generated evidence-and-judgment response</w:t>
            </w:r>
          </w:p>
        </w:tc>
        <w:tc>
          <w:tcPr>
            <w:tcW w:type="dxa" w:w="5112"/>
            <w:vAlign w:val="top"/>
            <w:shd w:fill="F7F3EA"/>
            <w:tcMar>
              <w:top w:w="60" w:type="dxa"/>
              <w:start w:w="80" w:type="dxa"/>
              <w:bottom w:w="60" w:type="dxa"/>
              <w:end w:w="80" w:type="dxa"/>
            </w:tcMar>
          </w:tcPr>
          <w:p>
            <w:pPr>
              <w:spacing w:after="20"/>
            </w:pPr>
            <w:r>
              <w:rPr>
                <w:sz w:val="15"/>
              </w:rPr>
              <w:t>Look for a specific course source or claim, accurate context, explicit reasoning, and a meaningful limit or uncertainty.</w:t>
            </w:r>
          </w:p>
        </w:tc>
      </w:tr>
      <w:tr>
        <w:trPr>
          <w:cantSplit w:val="true"/>
        </w:trPr>
        <w:tc>
          <w:tcPr>
            <w:tcW w:type="dxa" w:w="504"/>
            <w:vAlign w:val="top"/>
            <w:tcMar>
              <w:top w:w="60" w:type="dxa"/>
              <w:start w:w="80" w:type="dxa"/>
              <w:bottom w:w="60" w:type="dxa"/>
              <w:end w:w="80" w:type="dxa"/>
            </w:tcMar>
          </w:tcPr>
          <w:p>
            <w:pPr>
              <w:spacing w:after="20"/>
            </w:pPr>
            <w:r>
              <w:rPr>
                <w:sz w:val="15"/>
              </w:rPr>
              <w:t>5</w:t>
            </w:r>
          </w:p>
        </w:tc>
        <w:tc>
          <w:tcPr>
            <w:tcW w:type="dxa" w:w="576"/>
            <w:vAlign w:val="top"/>
            <w:tcMar>
              <w:top w:w="60" w:type="dxa"/>
              <w:start w:w="80" w:type="dxa"/>
              <w:bottom w:w="60" w:type="dxa"/>
              <w:end w:w="80" w:type="dxa"/>
            </w:tcMar>
          </w:tcPr>
          <w:p>
            <w:pPr>
              <w:spacing w:after="20"/>
            </w:pPr>
            <w:r>
              <w:rPr>
                <w:sz w:val="15"/>
              </w:rPr>
              <w:t>Manual</w:t>
            </w:r>
          </w:p>
        </w:tc>
        <w:tc>
          <w:tcPr>
            <w:tcW w:type="dxa" w:w="4464"/>
            <w:vAlign w:val="top"/>
            <w:tcMar>
              <w:top w:w="60" w:type="dxa"/>
              <w:start w:w="80" w:type="dxa"/>
              <w:bottom w:w="60" w:type="dxa"/>
              <w:end w:w="80" w:type="dxa"/>
            </w:tcMar>
          </w:tcPr>
          <w:p>
            <w:pPr>
              <w:spacing w:after="20"/>
            </w:pPr>
            <w:r>
              <w:rPr>
                <w:sz w:val="15"/>
              </w:rPr>
              <w:t>Student-generated evidence-and-judgment response</w:t>
            </w:r>
          </w:p>
        </w:tc>
        <w:tc>
          <w:tcPr>
            <w:tcW w:type="dxa" w:w="5112"/>
            <w:vAlign w:val="top"/>
            <w:tcMar>
              <w:top w:w="60" w:type="dxa"/>
              <w:start w:w="80" w:type="dxa"/>
              <w:bottom w:w="60" w:type="dxa"/>
              <w:end w:w="80" w:type="dxa"/>
            </w:tcMar>
          </w:tcPr>
          <w:p>
            <w:pPr>
              <w:spacing w:after="20"/>
            </w:pPr>
            <w:r>
              <w:rPr>
                <w:sz w:val="15"/>
              </w:rPr>
              <w:t>Look for a specific course source or claim, accurate context, explicit reasoning, and a meaningful limit or uncertainty.</w:t>
            </w:r>
          </w:p>
        </w:tc>
      </w:tr>
    </w:tbl>
    <w:p>
      <w:pPr>
        <w:spacing w:after="20"/>
      </w:pPr>
    </w:p>
    <w:p>
      <w:pPr>
        <w:pStyle w:val="Heading1"/>
      </w:pPr>
      <w:r>
        <w:t>9. Research and Reading Notes</w:t>
      </w:r>
    </w:p>
    <w:p>
      <w:r>
        <w:t>The course uses recent scholarship to foreground Indigenous power and persistence, borderlands and imperial formations, racialized labor, state/corporate infrastructure, environmental governance, public memory, and local archives. Publisher pages confirm bibliographic details; they do not grant permission to reproduce chapters.</w:t>
      </w:r>
    </w:p>
    <w:tbl>
      <w:tblPr>
        <w:tblStyle w:val="TableGrid"/>
        <w:tblW w:type="auto" w:w="0"/>
        <w:tblLook w:firstColumn="1" w:firstRow="1" w:lastColumn="0" w:lastRow="0" w:noHBand="0" w:noVBand="1" w:val="04A0"/>
      </w:tblPr>
      <w:tblGrid>
        <w:gridCol w:w="10166"/>
      </w:tblGrid>
      <w:tr>
        <w:trPr>
          <w:cantSplit/>
          <w:tblHeader/>
        </w:trPr>
        <w:tc>
          <w:tcPr>
            <w:tcW w:type="dxa" w:w="10166"/>
            <w:shd w:fill="F7F3EA"/>
            <w:tcMar>
              <w:top w:w="110" w:type="dxa"/>
              <w:start w:w="140" w:type="dxa"/>
              <w:bottom w:w="110" w:type="dxa"/>
              <w:end w:w="140" w:type="dxa"/>
            </w:tcMar>
          </w:tcPr>
          <w:p>
            <w:r>
              <w:rPr>
                <w:b/>
                <w:color w:val="A04E32"/>
              </w:rPr>
              <w:t>Acquisition boundary</w:t>
              <w:br/>
            </w:r>
            <w:r>
              <w:t>No copyrighted monograph chapters are embedded. Select lawful excerpts through Northwest Libraries or course reserves, verify access, and provide full citation and accessible format.</w:t>
            </w:r>
          </w:p>
        </w:tc>
      </w:tr>
    </w:tbl>
    <w:p>
      <w:pPr>
        <w:spacing w:after="20"/>
      </w:pPr>
    </w:p>
    <w:p>
      <w:pPr>
        <w:keepLines/>
      </w:pPr>
      <w:r>
        <w:rPr>
          <w:b/>
        </w:rPr>
        <w:t xml:space="preserve">American Historical Association. </w:t>
      </w:r>
      <w:r>
        <w:t>Core Learning Outcomes in History. 2024. https://www.historians.org/teaching-learning/undergraduate-education/core-learning-outcomes-in-history/</w:t>
      </w:r>
    </w:p>
    <w:p>
      <w:pPr>
        <w:keepLines/>
      </w:pPr>
      <w:r>
        <w:rPr>
          <w:b/>
        </w:rPr>
        <w:t xml:space="preserve">American Historical Association. </w:t>
      </w:r>
      <w:r>
        <w:t>History Discipline Core. 2016. https://www.historians.org/resource/history-discipline-core/</w:t>
      </w:r>
    </w:p>
    <w:p>
      <w:pPr>
        <w:keepLines/>
      </w:pPr>
      <w:r>
        <w:rPr>
          <w:b/>
        </w:rPr>
        <w:t xml:space="preserve">Digital Inquiry Group. </w:t>
      </w:r>
      <w:r>
        <w:t>Historical Thinking Chart. 2026. https://www.inquirygroup.org/history-lessons/historical-thinking-chart</w:t>
      </w:r>
    </w:p>
    <w:p>
      <w:pPr>
        <w:keepLines/>
      </w:pPr>
      <w:r>
        <w:rPr>
          <w:b/>
        </w:rPr>
        <w:t xml:space="preserve">Transparency in Learning and Teaching. </w:t>
      </w:r>
      <w:r>
        <w:t>TILT Higher Ed Resources. 2026. https://www.tilthighered.com/resources</w:t>
      </w:r>
    </w:p>
    <w:p>
      <w:pPr>
        <w:keepLines/>
      </w:pPr>
      <w:r>
        <w:rPr>
          <w:b/>
        </w:rPr>
        <w:t xml:space="preserve">CAST. </w:t>
      </w:r>
      <w:r>
        <w:t>Universal Design for Learning Guidelines 3.0: Research Evidence. 2024. https://udlguidelines.cast.org/more/research-evidence/</w:t>
      </w:r>
    </w:p>
    <w:p>
      <w:pPr>
        <w:keepLines/>
      </w:pPr>
      <w:r>
        <w:rPr>
          <w:b/>
        </w:rPr>
        <w:t xml:space="preserve">Library of Congress. </w:t>
      </w:r>
      <w:r>
        <w:t>Primary Source Analysis Tool and Teacher’s Guides. 2026. https://www.loc.gov/programs/teachers/getting-started-with-primary-sources/guides/</w:t>
      </w:r>
    </w:p>
    <w:p>
      <w:pPr>
        <w:keepLines/>
      </w:pPr>
      <w:r>
        <w:rPr>
          <w:b/>
        </w:rPr>
        <w:t xml:space="preserve">Blackhawk, Ned. </w:t>
      </w:r>
      <w:r>
        <w:t>The Rediscovery of America: Native Peoples and the Unmaking of U.S. History. 2023. https://yalebooks.yale.edu/book/9780300276671/the-rediscovery-of-america/</w:t>
      </w:r>
    </w:p>
    <w:p>
      <w:pPr>
        <w:keepLines/>
      </w:pPr>
      <w:r>
        <w:rPr>
          <w:b/>
        </w:rPr>
        <w:t xml:space="preserve">Black, Megan. </w:t>
      </w:r>
      <w:r>
        <w:t>The Global Interior: Mineral Frontiers and American Power. 2018. https://www.hup.harvard.edu/books/9780674271197</w:t>
      </w:r>
    </w:p>
    <w:p>
      <w:pPr>
        <w:keepLines/>
      </w:pPr>
      <w:r>
        <w:rPr>
          <w:b/>
        </w:rPr>
        <w:t xml:space="preserve">Demuth, Bathsheba. </w:t>
      </w:r>
      <w:r>
        <w:t>Floating Coast: An Environmental History of the Bering Strait. 2019. https://wwnorton.com/books/9780393358322</w:t>
      </w:r>
    </w:p>
    <w:p>
      <w:pPr>
        <w:keepLines/>
      </w:pPr>
      <w:r>
        <w:rPr>
          <w:b/>
        </w:rPr>
        <w:t xml:space="preserve">Deutsch, Sarah. </w:t>
      </w:r>
      <w:r>
        <w:t>Making a Modern U.S. West: The Contested Terrain of a Region and Its Borders, 1898–1940. 2022. https://www.nebraskapress.unl.edu/nebraska/9781496228611/making-a-modern-u-s-west/</w:t>
      </w:r>
    </w:p>
    <w:p>
      <w:pPr>
        <w:keepLines/>
      </w:pPr>
      <w:r>
        <w:rPr>
          <w:b/>
        </w:rPr>
        <w:t xml:space="preserve">Hämäläinen, Pekka. </w:t>
      </w:r>
      <w:r>
        <w:t>Indigenous Continent: The Epic Contest for North America. 2022. https://wwnorton.com/books/9781631496998</w:t>
      </w:r>
    </w:p>
    <w:p>
      <w:pPr>
        <w:keepLines/>
      </w:pPr>
      <w:r>
        <w:rPr>
          <w:b/>
        </w:rPr>
        <w:t xml:space="preserve">Hyde, Anne F.. </w:t>
      </w:r>
      <w:r>
        <w:t>Born of Lakes and Plains: Mixed-Descent Peoples and the Making of the American West. 2022. https://wwnorton.com/books/9780393634099</w:t>
      </w:r>
    </w:p>
    <w:p>
      <w:pPr>
        <w:keepLines/>
      </w:pPr>
      <w:r>
        <w:rPr>
          <w:b/>
        </w:rPr>
        <w:t xml:space="preserve">Johnson, Susan Lee. </w:t>
      </w:r>
      <w:r>
        <w:t>Writing Kit Carson: Fallen Heroes in a Changing West. 2020. https://uncpress.org/9781469658841/writing-kit-carson/</w:t>
      </w:r>
    </w:p>
    <w:p>
      <w:pPr>
        <w:keepLines/>
      </w:pPr>
      <w:r>
        <w:rPr>
          <w:b/>
        </w:rPr>
        <w:t xml:space="preserve">Karuka, Manu. </w:t>
      </w:r>
      <w:r>
        <w:t>Empire’s Tracks: Indigenous Nations, Chinese Workers, and the Transcontinental Railroad. 2019. https://www.ucpress.edu/books/empires-tracks/paper</w:t>
      </w:r>
    </w:p>
    <w:p>
      <w:pPr>
        <w:keepLines/>
      </w:pPr>
      <w:r>
        <w:rPr>
          <w:b/>
        </w:rPr>
        <w:t xml:space="preserve">Keyes, Sarah. </w:t>
      </w:r>
      <w:r>
        <w:t>American Burial Ground: A New History of the Overland Trail. 2023. https://www.pennpress.org/9781512824513/american-burial-ground/</w:t>
      </w:r>
    </w:p>
    <w:p>
      <w:pPr>
        <w:keepLines/>
      </w:pPr>
      <w:r>
        <w:rPr>
          <w:b/>
        </w:rPr>
        <w:t xml:space="preserve">Lytle Hernández, Kelly. </w:t>
      </w:r>
      <w:r>
        <w:t>Bad Mexicans: Race, Empire, and Revolution in the Borderlands. 2022. https://wwnorton.com/books/9781324004370</w:t>
      </w:r>
    </w:p>
    <w:p>
      <w:pPr>
        <w:keepLines/>
      </w:pPr>
      <w:r>
        <w:rPr>
          <w:b/>
        </w:rPr>
        <w:t xml:space="preserve">Martinez, Monica Muñoz. </w:t>
      </w:r>
      <w:r>
        <w:t>The Injustice Never Leaves You: Anti-Mexican Violence in Texas. 2018. https://www.hup.harvard.edu/books/9780674244825</w:t>
      </w:r>
    </w:p>
    <w:p>
      <w:pPr>
        <w:keepLines/>
      </w:pPr>
      <w:r>
        <w:rPr>
          <w:b/>
        </w:rPr>
        <w:t xml:space="preserve">Phillips, Katrina. </w:t>
      </w:r>
      <w:r>
        <w:t>Staging Indigeneity: Salvage Tourism and the Performance of Native American History. 2021. https://uncpress.org/9781469662312/staging-indigeneity/</w:t>
      </w:r>
    </w:p>
    <w:p>
      <w:pPr>
        <w:keepLines/>
      </w:pPr>
      <w:r>
        <w:rPr>
          <w:b/>
        </w:rPr>
        <w:t xml:space="preserve">Waite, Kevin. </w:t>
      </w:r>
      <w:r>
        <w:t>West of Slavery: The Southern Dream of a Transcontinental Empire. 2021. https://uncpress.org/9781469663197/west-of-slavery/</w:t>
      </w:r>
    </w:p>
    <w:p>
      <w:pPr>
        <w:keepLines/>
      </w:pPr>
      <w:r>
        <w:rPr>
          <w:b/>
        </w:rPr>
        <w:t xml:space="preserve">West, Elliott. </w:t>
      </w:r>
      <w:r>
        <w:t>Continental Reckoning: The American West in the Age of Expansion. 2023. https://www.nebraskapress.unl.edu/nebraska/9781496243010/continental-reckoning/</w:t>
      </w:r>
    </w:p>
    <w:p>
      <w:pPr>
        <w:keepLines/>
      </w:pPr>
      <w:r>
        <w:rPr>
          <w:b/>
        </w:rPr>
        <w:t xml:space="preserve">Western Historical Quarterly. </w:t>
      </w:r>
      <w:r>
        <w:t>About the Journal and Current Issues. 2026. https://academic.oup.com/whq/pages/About</w:t>
      </w:r>
    </w:p>
    <w:p>
      <w:pPr>
        <w:keepLines/>
      </w:pPr>
      <w:r>
        <w:rPr>
          <w:b/>
        </w:rPr>
        <w:t xml:space="preserve">American Yawp. </w:t>
      </w:r>
      <w:r>
        <w:t>A Massively Collaborative Open U.S. History Textbook. 2026. https://www.americanyawp.com/</w:t>
      </w:r>
    </w:p>
    <w:p>
      <w:pPr>
        <w:keepLines/>
      </w:pPr>
      <w:r>
        <w:rPr>
          <w:b/>
        </w:rPr>
        <w:t xml:space="preserve">Northwest Missouri State University. </w:t>
      </w:r>
      <w:r>
        <w:t>History Major. 2026. https://www.nwmissouri.edu/academics/undergraduate/majors/history.htm</w:t>
      </w:r>
    </w:p>
    <w:p>
      <w:pPr>
        <w:keepLines/>
      </w:pPr>
      <w:r>
        <w:rPr>
          <w:b/>
        </w:rPr>
        <w:t xml:space="preserve">Northwest Missouri State University. </w:t>
      </w:r>
      <w:r>
        <w:t>University Archives. 2026. https://www.nwmissouri.edu/archives/</w:t>
      </w:r>
    </w:p>
    <w:p>
      <w:pPr>
        <w:keepLines/>
      </w:pPr>
      <w:r>
        <w:rPr>
          <w:b/>
        </w:rPr>
        <w:t xml:space="preserve">Missouri Secretary of State. </w:t>
      </w:r>
      <w:r>
        <w:t>Missouri Digital Heritage. 2026. https://www.sos.mo.gov/mdh/</w:t>
      </w:r>
    </w:p>
    <w:p>
      <w:pPr>
        <w:pStyle w:val="Heading1"/>
      </w:pPr>
      <w:r>
        <w:t>10. Course Closeout and Revision Log</w:t>
      </w:r>
    </w:p>
    <w:tbl>
      <w:tblPr>
        <w:tblStyle w:val="TableGrid"/>
        <w:tblW w:type="auto" w:w="0"/>
        <w:jc w:val="center"/>
        <w:tblLook w:firstColumn="1" w:firstRow="1" w:lastColumn="0" w:lastRow="0" w:noHBand="0" w:noVBand="1" w:val="04A0"/>
      </w:tblPr>
      <w:tblGrid>
        <w:gridCol w:w="3389"/>
        <w:gridCol w:w="3389"/>
        <w:gridCol w:w="3389"/>
      </w:tblGrid>
      <w:tr>
        <w:trPr>
          <w:tblHeader w:val="true"/>
          <w:cantSplit w:val="true"/>
        </w:trPr>
        <w:tc>
          <w:tcPr>
            <w:tcW w:type="dxa" w:w="2880"/>
            <w:shd w:fill="24364B"/>
            <w:vAlign w:val="center"/>
            <w:tcMar>
              <w:top w:w="60" w:type="dxa"/>
              <w:start w:w="80" w:type="dxa"/>
              <w:bottom w:w="60" w:type="dxa"/>
              <w:end w:w="80" w:type="dxa"/>
            </w:tcMar>
          </w:tcPr>
          <w:p>
            <w:r>
              <w:rPr>
                <w:b/>
                <w:color w:val="FFFFFF"/>
                <w:sz w:val="17"/>
              </w:rPr>
              <w:t>Signal to collect</w:t>
            </w:r>
          </w:p>
        </w:tc>
        <w:tc>
          <w:tcPr>
            <w:tcW w:type="dxa" w:w="1728"/>
            <w:shd w:fill="24364B"/>
            <w:vAlign w:val="center"/>
            <w:tcMar>
              <w:top w:w="60" w:type="dxa"/>
              <w:start w:w="80" w:type="dxa"/>
              <w:bottom w:w="60" w:type="dxa"/>
              <w:end w:w="80" w:type="dxa"/>
            </w:tcMar>
          </w:tcPr>
          <w:p>
            <w:r>
              <w:rPr>
                <w:b/>
                <w:color w:val="FFFFFF"/>
                <w:sz w:val="17"/>
              </w:rPr>
              <w:t>When</w:t>
            </w:r>
          </w:p>
        </w:tc>
        <w:tc>
          <w:tcPr>
            <w:tcW w:type="dxa" w:w="6048"/>
            <w:shd w:fill="24364B"/>
            <w:vAlign w:val="center"/>
            <w:tcMar>
              <w:top w:w="60" w:type="dxa"/>
              <w:start w:w="80" w:type="dxa"/>
              <w:bottom w:w="60" w:type="dxa"/>
              <w:end w:w="80" w:type="dxa"/>
            </w:tcMar>
          </w:tcPr>
          <w:p>
            <w:r>
              <w:rPr>
                <w:b/>
                <w:color w:val="FFFFFF"/>
                <w:sz w:val="17"/>
              </w:rPr>
              <w:t>Revision question</w:t>
            </w:r>
          </w:p>
        </w:tc>
      </w:tr>
      <w:tr>
        <w:trPr>
          <w:cantSplit w:val="true"/>
        </w:trPr>
        <w:tc>
          <w:tcPr>
            <w:tcW w:type="dxa" w:w="2880"/>
            <w:vAlign w:val="top"/>
            <w:tcMar>
              <w:top w:w="60" w:type="dxa"/>
              <w:start w:w="80" w:type="dxa"/>
              <w:bottom w:w="60" w:type="dxa"/>
              <w:end w:w="80" w:type="dxa"/>
            </w:tcMar>
          </w:tcPr>
          <w:p>
            <w:pPr>
              <w:spacing w:after="20"/>
            </w:pPr>
            <w:r>
              <w:rPr>
                <w:sz w:val="17"/>
              </w:rPr>
              <w:t>Reading-check item performance</w:t>
            </w:r>
          </w:p>
        </w:tc>
        <w:tc>
          <w:tcPr>
            <w:tcW w:type="dxa" w:w="1728"/>
            <w:vAlign w:val="top"/>
            <w:tcMar>
              <w:top w:w="60" w:type="dxa"/>
              <w:start w:w="80" w:type="dxa"/>
              <w:bottom w:w="60" w:type="dxa"/>
              <w:end w:w="80" w:type="dxa"/>
            </w:tcMar>
          </w:tcPr>
          <w:p>
            <w:pPr>
              <w:spacing w:after="20"/>
            </w:pPr>
            <w:r>
              <w:rPr>
                <w:sz w:val="17"/>
              </w:rPr>
              <w:t>Weekly</w:t>
            </w:r>
          </w:p>
        </w:tc>
        <w:tc>
          <w:tcPr>
            <w:tcW w:type="dxa" w:w="6048"/>
            <w:vAlign w:val="top"/>
            <w:tcMar>
              <w:top w:w="60" w:type="dxa"/>
              <w:start w:w="80" w:type="dxa"/>
              <w:bottom w:w="60" w:type="dxa"/>
              <w:end w:w="80" w:type="dxa"/>
            </w:tcMar>
          </w:tcPr>
          <w:p>
            <w:pPr>
              <w:spacing w:after="20"/>
            </w:pPr>
            <w:r>
              <w:rPr>
                <w:sz w:val="17"/>
              </w:rPr>
              <w:t>Which misconception or wording needs attention?</w:t>
            </w:r>
          </w:p>
        </w:tc>
      </w:tr>
      <w:tr>
        <w:trPr>
          <w:cantSplit w:val="true"/>
        </w:trPr>
        <w:tc>
          <w:tcPr>
            <w:tcW w:type="dxa" w:w="2880"/>
            <w:vAlign w:val="top"/>
            <w:shd w:fill="F7F3EA"/>
            <w:tcMar>
              <w:top w:w="60" w:type="dxa"/>
              <w:start w:w="80" w:type="dxa"/>
              <w:bottom w:w="60" w:type="dxa"/>
              <w:end w:w="80" w:type="dxa"/>
            </w:tcMar>
          </w:tcPr>
          <w:p>
            <w:pPr>
              <w:spacing w:after="20"/>
            </w:pPr>
            <w:r>
              <w:rPr>
                <w:sz w:val="17"/>
              </w:rPr>
              <w:t>Exit-ticket claims</w:t>
            </w:r>
          </w:p>
        </w:tc>
        <w:tc>
          <w:tcPr>
            <w:tcW w:type="dxa" w:w="1728"/>
            <w:vAlign w:val="top"/>
            <w:shd w:fill="F7F3EA"/>
            <w:tcMar>
              <w:top w:w="60" w:type="dxa"/>
              <w:start w:w="80" w:type="dxa"/>
              <w:bottom w:w="60" w:type="dxa"/>
              <w:end w:w="80" w:type="dxa"/>
            </w:tcMar>
          </w:tcPr>
          <w:p>
            <w:pPr>
              <w:spacing w:after="20"/>
            </w:pPr>
            <w:r>
              <w:rPr>
                <w:sz w:val="17"/>
              </w:rPr>
              <w:t>Weekly</w:t>
            </w:r>
          </w:p>
        </w:tc>
        <w:tc>
          <w:tcPr>
            <w:tcW w:type="dxa" w:w="6048"/>
            <w:vAlign w:val="top"/>
            <w:shd w:fill="F7F3EA"/>
            <w:tcMar>
              <w:top w:w="60" w:type="dxa"/>
              <w:start w:w="80" w:type="dxa"/>
              <w:bottom w:w="60" w:type="dxa"/>
              <w:end w:w="80" w:type="dxa"/>
            </w:tcMar>
          </w:tcPr>
          <w:p>
            <w:pPr>
              <w:spacing w:after="20"/>
            </w:pPr>
            <w:r>
              <w:rPr>
                <w:sz w:val="17"/>
              </w:rPr>
              <w:t>Can students connect evidence to the inquiry?</w:t>
            </w:r>
          </w:p>
        </w:tc>
      </w:tr>
      <w:tr>
        <w:trPr>
          <w:cantSplit w:val="true"/>
        </w:trPr>
        <w:tc>
          <w:tcPr>
            <w:tcW w:type="dxa" w:w="2880"/>
            <w:vAlign w:val="top"/>
            <w:tcMar>
              <w:top w:w="60" w:type="dxa"/>
              <w:start w:w="80" w:type="dxa"/>
              <w:bottom w:w="60" w:type="dxa"/>
              <w:end w:w="80" w:type="dxa"/>
            </w:tcMar>
          </w:tcPr>
          <w:p>
            <w:pPr>
              <w:spacing w:after="20"/>
            </w:pPr>
            <w:r>
              <w:rPr>
                <w:sz w:val="17"/>
              </w:rPr>
              <w:t>Source-lab rubric patterns</w:t>
            </w:r>
          </w:p>
        </w:tc>
        <w:tc>
          <w:tcPr>
            <w:tcW w:type="dxa" w:w="1728"/>
            <w:vAlign w:val="top"/>
            <w:tcMar>
              <w:top w:w="60" w:type="dxa"/>
              <w:start w:w="80" w:type="dxa"/>
              <w:bottom w:w="60" w:type="dxa"/>
              <w:end w:w="80" w:type="dxa"/>
            </w:tcMar>
          </w:tcPr>
          <w:p>
            <w:pPr>
              <w:spacing w:after="20"/>
            </w:pPr>
            <w:r>
              <w:rPr>
                <w:sz w:val="17"/>
              </w:rPr>
              <w:t>Weeks 4, 6, 10, 12</w:t>
            </w:r>
          </w:p>
        </w:tc>
        <w:tc>
          <w:tcPr>
            <w:tcW w:type="dxa" w:w="6048"/>
            <w:vAlign w:val="top"/>
            <w:tcMar>
              <w:top w:w="60" w:type="dxa"/>
              <w:start w:w="80" w:type="dxa"/>
              <w:bottom w:w="60" w:type="dxa"/>
              <w:end w:w="80" w:type="dxa"/>
            </w:tcMar>
          </w:tcPr>
          <w:p>
            <w:pPr>
              <w:spacing w:after="20"/>
            </w:pPr>
            <w:r>
              <w:rPr>
                <w:sz w:val="17"/>
              </w:rPr>
              <w:t>Which historical-thinking move needs reteaching?</w:t>
            </w:r>
          </w:p>
        </w:tc>
      </w:tr>
      <w:tr>
        <w:trPr>
          <w:cantSplit w:val="true"/>
        </w:trPr>
        <w:tc>
          <w:tcPr>
            <w:tcW w:type="dxa" w:w="2880"/>
            <w:vAlign w:val="top"/>
            <w:shd w:fill="F7F3EA"/>
            <w:tcMar>
              <w:top w:w="60" w:type="dxa"/>
              <w:start w:w="80" w:type="dxa"/>
              <w:bottom w:w="60" w:type="dxa"/>
              <w:end w:w="80" w:type="dxa"/>
            </w:tcMar>
          </w:tcPr>
          <w:p>
            <w:pPr>
              <w:spacing w:after="20"/>
            </w:pPr>
            <w:r>
              <w:rPr>
                <w:sz w:val="17"/>
              </w:rPr>
              <w:t>Midterm synthesis</w:t>
            </w:r>
          </w:p>
        </w:tc>
        <w:tc>
          <w:tcPr>
            <w:tcW w:type="dxa" w:w="1728"/>
            <w:vAlign w:val="top"/>
            <w:shd w:fill="F7F3EA"/>
            <w:tcMar>
              <w:top w:w="60" w:type="dxa"/>
              <w:start w:w="80" w:type="dxa"/>
              <w:bottom w:w="60" w:type="dxa"/>
              <w:end w:w="80" w:type="dxa"/>
            </w:tcMar>
          </w:tcPr>
          <w:p>
            <w:pPr>
              <w:spacing w:after="20"/>
            </w:pPr>
            <w:r>
              <w:rPr>
                <w:sz w:val="17"/>
              </w:rPr>
              <w:t>Week 8</w:t>
            </w:r>
          </w:p>
        </w:tc>
        <w:tc>
          <w:tcPr>
            <w:tcW w:type="dxa" w:w="6048"/>
            <w:vAlign w:val="top"/>
            <w:shd w:fill="F7F3EA"/>
            <w:tcMar>
              <w:top w:w="60" w:type="dxa"/>
              <w:start w:w="80" w:type="dxa"/>
              <w:bottom w:w="60" w:type="dxa"/>
              <w:end w:w="80" w:type="dxa"/>
            </w:tcMar>
          </w:tcPr>
          <w:p>
            <w:pPr>
              <w:spacing w:after="20"/>
            </w:pPr>
            <w:r>
              <w:rPr>
                <w:sz w:val="17"/>
              </w:rPr>
              <w:t>Can students organize by problem rather than author?</w:t>
            </w:r>
          </w:p>
        </w:tc>
      </w:tr>
      <w:tr>
        <w:trPr>
          <w:cantSplit w:val="true"/>
        </w:trPr>
        <w:tc>
          <w:tcPr>
            <w:tcW w:type="dxa" w:w="2880"/>
            <w:vAlign w:val="top"/>
            <w:tcMar>
              <w:top w:w="60" w:type="dxa"/>
              <w:start w:w="80" w:type="dxa"/>
              <w:bottom w:w="60" w:type="dxa"/>
              <w:end w:w="80" w:type="dxa"/>
            </w:tcMar>
          </w:tcPr>
          <w:p>
            <w:pPr>
              <w:spacing w:after="20"/>
            </w:pPr>
            <w:r>
              <w:rPr>
                <w:sz w:val="17"/>
              </w:rPr>
              <w:t>Capstone process</w:t>
            </w:r>
          </w:p>
        </w:tc>
        <w:tc>
          <w:tcPr>
            <w:tcW w:type="dxa" w:w="1728"/>
            <w:vAlign w:val="top"/>
            <w:tcMar>
              <w:top w:w="60" w:type="dxa"/>
              <w:start w:w="80" w:type="dxa"/>
              <w:bottom w:w="60" w:type="dxa"/>
              <w:end w:w="80" w:type="dxa"/>
            </w:tcMar>
          </w:tcPr>
          <w:p>
            <w:pPr>
              <w:spacing w:after="20"/>
            </w:pPr>
            <w:r>
              <w:rPr>
                <w:sz w:val="17"/>
              </w:rPr>
              <w:t>Weeks 7–15</w:t>
            </w:r>
          </w:p>
        </w:tc>
        <w:tc>
          <w:tcPr>
            <w:tcW w:type="dxa" w:w="6048"/>
            <w:vAlign w:val="top"/>
            <w:tcMar>
              <w:top w:w="60" w:type="dxa"/>
              <w:start w:w="80" w:type="dxa"/>
              <w:bottom w:w="60" w:type="dxa"/>
              <w:end w:w="80" w:type="dxa"/>
            </w:tcMar>
          </w:tcPr>
          <w:p>
            <w:pPr>
              <w:spacing w:after="20"/>
            </w:pPr>
            <w:r>
              <w:rPr>
                <w:sz w:val="17"/>
              </w:rPr>
              <w:t>Where do access, scope, rights, or evidence problems emerge?</w:t>
            </w:r>
          </w:p>
        </w:tc>
      </w:tr>
      <w:tr>
        <w:trPr>
          <w:cantSplit w:val="true"/>
        </w:trPr>
        <w:tc>
          <w:tcPr>
            <w:tcW w:type="dxa" w:w="2880"/>
            <w:vAlign w:val="top"/>
            <w:shd w:fill="F7F3EA"/>
            <w:tcMar>
              <w:top w:w="60" w:type="dxa"/>
              <w:start w:w="80" w:type="dxa"/>
              <w:bottom w:w="60" w:type="dxa"/>
              <w:end w:w="80" w:type="dxa"/>
            </w:tcMar>
          </w:tcPr>
          <w:p>
            <w:pPr>
              <w:spacing w:after="20"/>
            </w:pPr>
            <w:r>
              <w:rPr>
                <w:sz w:val="17"/>
              </w:rPr>
              <w:t>Final reflection</w:t>
            </w:r>
          </w:p>
        </w:tc>
        <w:tc>
          <w:tcPr>
            <w:tcW w:type="dxa" w:w="1728"/>
            <w:vAlign w:val="top"/>
            <w:shd w:fill="F7F3EA"/>
            <w:tcMar>
              <w:top w:w="60" w:type="dxa"/>
              <w:start w:w="80" w:type="dxa"/>
              <w:bottom w:w="60" w:type="dxa"/>
              <w:end w:w="80" w:type="dxa"/>
            </w:tcMar>
          </w:tcPr>
          <w:p>
            <w:pPr>
              <w:spacing w:after="20"/>
            </w:pPr>
            <w:r>
              <w:rPr>
                <w:sz w:val="17"/>
              </w:rPr>
              <w:t>Week 15</w:t>
            </w:r>
          </w:p>
        </w:tc>
        <w:tc>
          <w:tcPr>
            <w:tcW w:type="dxa" w:w="6048"/>
            <w:vAlign w:val="top"/>
            <w:shd w:fill="F7F3EA"/>
            <w:tcMar>
              <w:top w:w="60" w:type="dxa"/>
              <w:start w:w="80" w:type="dxa"/>
              <w:bottom w:w="60" w:type="dxa"/>
              <w:end w:w="80" w:type="dxa"/>
            </w:tcMar>
          </w:tcPr>
          <w:p>
            <w:pPr>
              <w:spacing w:after="20"/>
            </w:pPr>
            <w:r>
              <w:rPr>
                <w:sz w:val="17"/>
              </w:rPr>
              <w:t>What changed in students’ maps, questions, and source practices?</w:t>
            </w:r>
          </w:p>
        </w:tc>
      </w:tr>
    </w:tbl>
    <w:p>
      <w:pPr>
        <w:spacing w:after="20"/>
      </w:pPr>
    </w:p>
    <w:p>
      <w:r>
        <w:t>Revision log:</w:t>
      </w:r>
    </w:p>
    <w:tbl>
      <w:tblPr>
        <w:tblStyle w:val="TableGrid"/>
        <w:tblW w:type="auto" w:w="0"/>
        <w:jc w:val="center"/>
        <w:tblLook w:firstColumn="1" w:firstRow="1" w:lastColumn="0" w:lastRow="0" w:noHBand="0" w:noVBand="1" w:val="04A0"/>
      </w:tblPr>
      <w:tblGrid>
        <w:gridCol w:w="2541"/>
        <w:gridCol w:w="2541"/>
        <w:gridCol w:w="2541"/>
        <w:gridCol w:w="2541"/>
      </w:tblGrid>
      <w:tr>
        <w:trPr>
          <w:tblHeader w:val="true"/>
          <w:cantSplit w:val="true"/>
        </w:trPr>
        <w:tc>
          <w:tcPr>
            <w:tcW w:type="dxa" w:w="2448"/>
            <w:shd w:fill="24364B"/>
            <w:vAlign w:val="center"/>
            <w:tcMar>
              <w:top w:w="60" w:type="dxa"/>
              <w:start w:w="80" w:type="dxa"/>
              <w:bottom w:w="60" w:type="dxa"/>
              <w:end w:w="80" w:type="dxa"/>
            </w:tcMar>
          </w:tcPr>
          <w:p>
            <w:r>
              <w:rPr>
                <w:b/>
                <w:color w:val="FFFFFF"/>
                <w:sz w:val="17"/>
              </w:rPr>
              <w:t>Observation</w:t>
            </w:r>
          </w:p>
        </w:tc>
        <w:tc>
          <w:tcPr>
            <w:tcW w:type="dxa" w:w="3024"/>
            <w:shd w:fill="24364B"/>
            <w:vAlign w:val="center"/>
            <w:tcMar>
              <w:top w:w="60" w:type="dxa"/>
              <w:start w:w="80" w:type="dxa"/>
              <w:bottom w:w="60" w:type="dxa"/>
              <w:end w:w="80" w:type="dxa"/>
            </w:tcMar>
          </w:tcPr>
          <w:p>
            <w:r>
              <w:rPr>
                <w:b/>
                <w:color w:val="FFFFFF"/>
                <w:sz w:val="17"/>
              </w:rPr>
              <w:t>Evidence</w:t>
            </w:r>
          </w:p>
        </w:tc>
        <w:tc>
          <w:tcPr>
            <w:tcW w:type="dxa" w:w="3456"/>
            <w:shd w:fill="24364B"/>
            <w:vAlign w:val="center"/>
            <w:tcMar>
              <w:top w:w="60" w:type="dxa"/>
              <w:start w:w="80" w:type="dxa"/>
              <w:bottom w:w="60" w:type="dxa"/>
              <w:end w:w="80" w:type="dxa"/>
            </w:tcMar>
          </w:tcPr>
          <w:p>
            <w:r>
              <w:rPr>
                <w:b/>
                <w:color w:val="FFFFFF"/>
                <w:sz w:val="17"/>
              </w:rPr>
              <w:t>Change for next offering</w:t>
            </w:r>
          </w:p>
        </w:tc>
        <w:tc>
          <w:tcPr>
            <w:tcW w:type="dxa" w:w="1728"/>
            <w:shd w:fill="24364B"/>
            <w:vAlign w:val="center"/>
            <w:tcMar>
              <w:top w:w="60" w:type="dxa"/>
              <w:start w:w="80" w:type="dxa"/>
              <w:bottom w:w="60" w:type="dxa"/>
              <w:end w:w="80" w:type="dxa"/>
            </w:tcMar>
          </w:tcPr>
          <w:p>
            <w:r>
              <w:rPr>
                <w:b/>
                <w:color w:val="FFFFFF"/>
                <w:sz w:val="17"/>
              </w:rPr>
              <w:t>Keep/measure</w:t>
            </w:r>
          </w:p>
        </w:tc>
      </w:tr>
      <w:tr>
        <w:trPr>
          <w:cantSplit w:val="true"/>
        </w:trPr>
        <w:tc>
          <w:tcPr>
            <w:tcW w:type="dxa" w:w="2448"/>
            <w:vAlign w:val="top"/>
            <w:tcMar>
              <w:top w:w="60" w:type="dxa"/>
              <w:start w:w="80" w:type="dxa"/>
              <w:bottom w:w="60" w:type="dxa"/>
              <w:end w:w="80" w:type="dxa"/>
            </w:tcMar>
          </w:tcPr>
          <w:p>
            <w:pPr>
              <w:spacing w:after="20"/>
            </w:pPr>
            <w:r>
              <w:rPr>
                <w:sz w:val="17"/>
              </w:rPr>
            </w:r>
          </w:p>
        </w:tc>
        <w:tc>
          <w:tcPr>
            <w:tcW w:type="dxa" w:w="3024"/>
            <w:vAlign w:val="top"/>
            <w:tcMar>
              <w:top w:w="60" w:type="dxa"/>
              <w:start w:w="80" w:type="dxa"/>
              <w:bottom w:w="60" w:type="dxa"/>
              <w:end w:w="80" w:type="dxa"/>
            </w:tcMar>
          </w:tcPr>
          <w:p>
            <w:pPr>
              <w:spacing w:after="20"/>
            </w:pPr>
            <w:r>
              <w:rPr>
                <w:sz w:val="17"/>
              </w:rPr>
            </w:r>
          </w:p>
        </w:tc>
        <w:tc>
          <w:tcPr>
            <w:tcW w:type="dxa" w:w="3456"/>
            <w:vAlign w:val="top"/>
            <w:tcMar>
              <w:top w:w="60" w:type="dxa"/>
              <w:start w:w="80" w:type="dxa"/>
              <w:bottom w:w="60" w:type="dxa"/>
              <w:end w:w="80" w:type="dxa"/>
            </w:tcMar>
          </w:tcPr>
          <w:p>
            <w:pPr>
              <w:spacing w:after="20"/>
            </w:pPr>
            <w:r>
              <w:rPr>
                <w:sz w:val="17"/>
              </w:rPr>
            </w:r>
          </w:p>
        </w:tc>
        <w:tc>
          <w:tcPr>
            <w:tcW w:type="dxa" w:w="1728"/>
            <w:vAlign w:val="top"/>
            <w:tcMar>
              <w:top w:w="60" w:type="dxa"/>
              <w:start w:w="80" w:type="dxa"/>
              <w:bottom w:w="60" w:type="dxa"/>
              <w:end w:w="80" w:type="dxa"/>
            </w:tcMar>
          </w:tcPr>
          <w:p>
            <w:pPr>
              <w:spacing w:after="20"/>
            </w:pPr>
            <w:r>
              <w:rPr>
                <w:sz w:val="17"/>
              </w:rPr>
            </w:r>
          </w:p>
        </w:tc>
      </w:tr>
      <w:tr>
        <w:trPr>
          <w:cantSplit w:val="true"/>
        </w:trPr>
        <w:tc>
          <w:tcPr>
            <w:tcW w:type="dxa" w:w="2448"/>
            <w:vAlign w:val="top"/>
            <w:shd w:fill="F7F3EA"/>
            <w:tcMar>
              <w:top w:w="60" w:type="dxa"/>
              <w:start w:w="80" w:type="dxa"/>
              <w:bottom w:w="60" w:type="dxa"/>
              <w:end w:w="80" w:type="dxa"/>
            </w:tcMar>
          </w:tcPr>
          <w:p>
            <w:pPr>
              <w:spacing w:after="20"/>
            </w:pPr>
            <w:r>
              <w:rPr>
                <w:sz w:val="17"/>
              </w:rPr>
            </w:r>
          </w:p>
        </w:tc>
        <w:tc>
          <w:tcPr>
            <w:tcW w:type="dxa" w:w="3024"/>
            <w:vAlign w:val="top"/>
            <w:shd w:fill="F7F3EA"/>
            <w:tcMar>
              <w:top w:w="60" w:type="dxa"/>
              <w:start w:w="80" w:type="dxa"/>
              <w:bottom w:w="60" w:type="dxa"/>
              <w:end w:w="80" w:type="dxa"/>
            </w:tcMar>
          </w:tcPr>
          <w:p>
            <w:pPr>
              <w:spacing w:after="20"/>
            </w:pPr>
            <w:r>
              <w:rPr>
                <w:sz w:val="17"/>
              </w:rPr>
            </w:r>
          </w:p>
        </w:tc>
        <w:tc>
          <w:tcPr>
            <w:tcW w:type="dxa" w:w="3456"/>
            <w:vAlign w:val="top"/>
            <w:shd w:fill="F7F3EA"/>
            <w:tcMar>
              <w:top w:w="60" w:type="dxa"/>
              <w:start w:w="80" w:type="dxa"/>
              <w:bottom w:w="60" w:type="dxa"/>
              <w:end w:w="80" w:type="dxa"/>
            </w:tcMar>
          </w:tcPr>
          <w:p>
            <w:pPr>
              <w:spacing w:after="20"/>
            </w:pPr>
            <w:r>
              <w:rPr>
                <w:sz w:val="17"/>
              </w:rPr>
            </w:r>
          </w:p>
        </w:tc>
        <w:tc>
          <w:tcPr>
            <w:tcW w:type="dxa" w:w="1728"/>
            <w:vAlign w:val="top"/>
            <w:shd w:fill="F7F3EA"/>
            <w:tcMar>
              <w:top w:w="60" w:type="dxa"/>
              <w:start w:w="80" w:type="dxa"/>
              <w:bottom w:w="60" w:type="dxa"/>
              <w:end w:w="80" w:type="dxa"/>
            </w:tcMar>
          </w:tcPr>
          <w:p>
            <w:pPr>
              <w:spacing w:after="20"/>
            </w:pPr>
            <w:r>
              <w:rPr>
                <w:sz w:val="17"/>
              </w:rPr>
            </w:r>
          </w:p>
        </w:tc>
      </w:tr>
      <w:tr>
        <w:trPr>
          <w:cantSplit w:val="true"/>
        </w:trPr>
        <w:tc>
          <w:tcPr>
            <w:tcW w:type="dxa" w:w="2448"/>
            <w:vAlign w:val="top"/>
            <w:tcMar>
              <w:top w:w="60" w:type="dxa"/>
              <w:start w:w="80" w:type="dxa"/>
              <w:bottom w:w="60" w:type="dxa"/>
              <w:end w:w="80" w:type="dxa"/>
            </w:tcMar>
          </w:tcPr>
          <w:p>
            <w:pPr>
              <w:spacing w:after="20"/>
            </w:pPr>
            <w:r>
              <w:rPr>
                <w:sz w:val="17"/>
              </w:rPr>
            </w:r>
          </w:p>
        </w:tc>
        <w:tc>
          <w:tcPr>
            <w:tcW w:type="dxa" w:w="3024"/>
            <w:vAlign w:val="top"/>
            <w:tcMar>
              <w:top w:w="60" w:type="dxa"/>
              <w:start w:w="80" w:type="dxa"/>
              <w:bottom w:w="60" w:type="dxa"/>
              <w:end w:w="80" w:type="dxa"/>
            </w:tcMar>
          </w:tcPr>
          <w:p>
            <w:pPr>
              <w:spacing w:after="20"/>
            </w:pPr>
            <w:r>
              <w:rPr>
                <w:sz w:val="17"/>
              </w:rPr>
            </w:r>
          </w:p>
        </w:tc>
        <w:tc>
          <w:tcPr>
            <w:tcW w:type="dxa" w:w="3456"/>
            <w:vAlign w:val="top"/>
            <w:tcMar>
              <w:top w:w="60" w:type="dxa"/>
              <w:start w:w="80" w:type="dxa"/>
              <w:bottom w:w="60" w:type="dxa"/>
              <w:end w:w="80" w:type="dxa"/>
            </w:tcMar>
          </w:tcPr>
          <w:p>
            <w:pPr>
              <w:spacing w:after="20"/>
            </w:pPr>
            <w:r>
              <w:rPr>
                <w:sz w:val="17"/>
              </w:rPr>
            </w:r>
          </w:p>
        </w:tc>
        <w:tc>
          <w:tcPr>
            <w:tcW w:type="dxa" w:w="1728"/>
            <w:vAlign w:val="top"/>
            <w:tcMar>
              <w:top w:w="60" w:type="dxa"/>
              <w:start w:w="80" w:type="dxa"/>
              <w:bottom w:w="60" w:type="dxa"/>
              <w:end w:w="80" w:type="dxa"/>
            </w:tcMar>
          </w:tcPr>
          <w:p>
            <w:pPr>
              <w:spacing w:after="20"/>
            </w:pPr>
            <w:r>
              <w:rPr>
                <w:sz w:val="17"/>
              </w:rPr>
            </w:r>
          </w:p>
        </w:tc>
      </w:tr>
      <w:tr>
        <w:trPr>
          <w:cantSplit w:val="true"/>
        </w:trPr>
        <w:tc>
          <w:tcPr>
            <w:tcW w:type="dxa" w:w="2448"/>
            <w:vAlign w:val="top"/>
            <w:shd w:fill="F7F3EA"/>
            <w:tcMar>
              <w:top w:w="60" w:type="dxa"/>
              <w:start w:w="80" w:type="dxa"/>
              <w:bottom w:w="60" w:type="dxa"/>
              <w:end w:w="80" w:type="dxa"/>
            </w:tcMar>
          </w:tcPr>
          <w:p>
            <w:pPr>
              <w:spacing w:after="20"/>
            </w:pPr>
            <w:r>
              <w:rPr>
                <w:sz w:val="17"/>
              </w:rPr>
            </w:r>
          </w:p>
        </w:tc>
        <w:tc>
          <w:tcPr>
            <w:tcW w:type="dxa" w:w="3024"/>
            <w:vAlign w:val="top"/>
            <w:shd w:fill="F7F3EA"/>
            <w:tcMar>
              <w:top w:w="60" w:type="dxa"/>
              <w:start w:w="80" w:type="dxa"/>
              <w:bottom w:w="60" w:type="dxa"/>
              <w:end w:w="80" w:type="dxa"/>
            </w:tcMar>
          </w:tcPr>
          <w:p>
            <w:pPr>
              <w:spacing w:after="20"/>
            </w:pPr>
            <w:r>
              <w:rPr>
                <w:sz w:val="17"/>
              </w:rPr>
            </w:r>
          </w:p>
        </w:tc>
        <w:tc>
          <w:tcPr>
            <w:tcW w:type="dxa" w:w="3456"/>
            <w:vAlign w:val="top"/>
            <w:shd w:fill="F7F3EA"/>
            <w:tcMar>
              <w:top w:w="60" w:type="dxa"/>
              <w:start w:w="80" w:type="dxa"/>
              <w:bottom w:w="60" w:type="dxa"/>
              <w:end w:w="80" w:type="dxa"/>
            </w:tcMar>
          </w:tcPr>
          <w:p>
            <w:pPr>
              <w:spacing w:after="20"/>
            </w:pPr>
            <w:r>
              <w:rPr>
                <w:sz w:val="17"/>
              </w:rPr>
            </w:r>
          </w:p>
        </w:tc>
        <w:tc>
          <w:tcPr>
            <w:tcW w:type="dxa" w:w="1728"/>
            <w:vAlign w:val="top"/>
            <w:shd w:fill="F7F3EA"/>
            <w:tcMar>
              <w:top w:w="60" w:type="dxa"/>
              <w:start w:w="80" w:type="dxa"/>
              <w:bottom w:w="60" w:type="dxa"/>
              <w:end w:w="80" w:type="dxa"/>
            </w:tcMar>
          </w:tcPr>
          <w:p>
            <w:pPr>
              <w:spacing w:after="20"/>
            </w:pPr>
            <w:r>
              <w:rPr>
                <w:sz w:val="17"/>
              </w:rPr>
            </w:r>
          </w:p>
        </w:tc>
      </w:tr>
    </w:tbl>
    <w:p>
      <w:pPr>
        <w:spacing w:after="20"/>
      </w:pPr>
    </w:p>
    <w:sectPr w:rsidR="00FC693F" w:rsidRPr="0006063C" w:rsidSect="00034616">
      <w:headerReference w:type="default" r:id="rId9"/>
      <w:footerReference w:type="default" r:id="rId10"/>
      <w:pgSz w:w="12240" w:h="15840"/>
      <w:pgMar w:top="979" w:right="1037" w:bottom="1181" w:left="1037"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Caption"/>
    </w:pPr>
    <w:r>
      <w:rPr>
        <w:b/>
        <w:color w:val="A04E32"/>
      </w:rPr>
      <w:t>THE AMERICAN WEST  |  INSTRUCTOR GUIDE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80" w:line="252" w:lineRule="auto"/>
    </w:pPr>
    <w:rPr>
      <w:rFonts w:ascii="Aptos" w:hAnsi="Aptos"/>
      <w:color w:val="252A2E"/>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ascii="Aptos Display" w:hAnsi="Aptos Display"/>
      <w:b/>
      <w:bCs/>
      <w:color w:val="24364B"/>
      <w:sz w:val="36"/>
      <w:szCs w:val="28"/>
    </w:rPr>
  </w:style>
  <w:style w:type="paragraph" w:styleId="Heading2">
    <w:name w:val="heading 2"/>
    <w:basedOn w:val="Normal"/>
    <w:next w:val="Normal"/>
    <w:link w:val="Heading2Char"/>
    <w:uiPriority w:val="9"/>
    <w:unhideWhenUsed/>
    <w:qFormat/>
    <w:rsid w:val="00FC693F"/>
    <w:pPr>
      <w:keepNext/>
      <w:keepLines/>
      <w:spacing w:before="180" w:after="60"/>
      <w:outlineLvl w:val="1"/>
    </w:pPr>
    <w:rPr>
      <w:rFonts w:asciiTheme="majorHAnsi" w:eastAsiaTheme="majorEastAsia" w:hAnsiTheme="majorHAnsi" w:cstheme="majorBidi" w:ascii="Aptos Display" w:hAnsi="Aptos Display"/>
      <w:b/>
      <w:bCs/>
      <w:color w:val="A04E32"/>
      <w:sz w:val="26"/>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ptos" w:hAnsi="Aptos"/>
      <w:b/>
      <w:bCs/>
      <w:color w:val="24364B"/>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pPr>
    <w:rPr>
      <w:rFonts w:asciiTheme="majorHAnsi" w:eastAsiaTheme="majorEastAsia" w:hAnsiTheme="majorHAnsi" w:cstheme="majorBidi" w:ascii="Aptos Display" w:hAnsi="Aptos Display"/>
      <w:b/>
      <w:color w:val="24364B"/>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60"/>
    </w:pPr>
    <w:rPr>
      <w:rFonts w:asciiTheme="majorHAnsi" w:eastAsiaTheme="majorEastAsia" w:hAnsiTheme="majorHAnsi" w:cstheme="majorBidi" w:ascii="Aptos" w:hAnsi="Aptos"/>
      <w:b w:val="0"/>
      <w:i/>
      <w:iCs/>
      <w:color w:val="A04E32"/>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